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F0DE3B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007E59">
        <w:rPr>
          <w:bCs/>
          <w:noProof w:val="0"/>
          <w:sz w:val="24"/>
          <w:szCs w:val="24"/>
        </w:rPr>
        <w:t>1357</w:t>
      </w:r>
    </w:p>
    <w:p w14:paraId="11776FA6" w14:textId="0A24544E"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702D19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B4910">
        <w:rPr>
          <w:rFonts w:cs="Arial"/>
          <w:b/>
          <w:bCs/>
          <w:sz w:val="24"/>
          <w:lang w:eastAsia="ja-JP"/>
        </w:rPr>
        <w:t>8</w:t>
      </w:r>
      <w:r w:rsidR="00903924">
        <w:rPr>
          <w:rFonts w:cs="Arial"/>
          <w:b/>
          <w:bCs/>
          <w:sz w:val="24"/>
          <w:lang w:eastAsia="ja-JP"/>
        </w:rPr>
        <w:t>.15</w:t>
      </w:r>
      <w:r w:rsidR="00CB4910">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847F61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27461091"/>
      <w:r w:rsidR="00607750">
        <w:rPr>
          <w:rFonts w:ascii="Arial" w:hAnsi="Arial" w:cs="Arial"/>
          <w:b/>
          <w:bCs/>
          <w:sz w:val="24"/>
        </w:rPr>
        <w:t>On Sidelink DRX and r</w:t>
      </w:r>
      <w:r w:rsidR="009C2EAB">
        <w:rPr>
          <w:rFonts w:ascii="Arial" w:hAnsi="Arial" w:cs="Arial"/>
          <w:b/>
          <w:bCs/>
          <w:sz w:val="24"/>
        </w:rPr>
        <w:t xml:space="preserve">emaining </w:t>
      </w:r>
      <w:r w:rsidR="00607750">
        <w:rPr>
          <w:rFonts w:ascii="Arial" w:hAnsi="Arial" w:cs="Arial"/>
          <w:b/>
          <w:bCs/>
          <w:sz w:val="24"/>
        </w:rPr>
        <w:t>CAPC i</w:t>
      </w:r>
      <w:r w:rsidR="009C2EAB">
        <w:rPr>
          <w:rFonts w:ascii="Arial" w:hAnsi="Arial" w:cs="Arial"/>
          <w:b/>
          <w:bCs/>
          <w:sz w:val="24"/>
        </w:rPr>
        <w:t>ssues</w:t>
      </w:r>
      <w:bookmarkEnd w:id="0"/>
    </w:p>
    <w:p w14:paraId="25F387E8" w14:textId="45EC026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4910" w:rsidRPr="00CB4910">
        <w:rPr>
          <w:rFonts w:ascii="Arial" w:hAnsi="Arial" w:cs="Arial"/>
          <w:b/>
          <w:bCs/>
          <w:sz w:val="24"/>
        </w:rPr>
        <w:t>NR_SL_enh2</w:t>
      </w:r>
      <w:r w:rsidRPr="00112F1A">
        <w:rPr>
          <w:rFonts w:ascii="Arial" w:hAnsi="Arial" w:cs="Arial"/>
          <w:b/>
          <w:bCs/>
          <w:sz w:val="24"/>
        </w:rPr>
        <w:t xml:space="preserve"> </w:t>
      </w:r>
      <w:r>
        <w:rPr>
          <w:rFonts w:ascii="Arial" w:hAnsi="Arial" w:cs="Arial"/>
          <w:b/>
          <w:bCs/>
          <w:sz w:val="24"/>
        </w:rPr>
        <w:t xml:space="preserve">- Release </w:t>
      </w:r>
      <w:r w:rsidR="00CB491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82F255F" w14:textId="7C174089" w:rsidR="000C0D10" w:rsidRPr="00E5465C" w:rsidRDefault="000C0D10" w:rsidP="000C0D10">
      <w:pPr>
        <w:pStyle w:val="ListParagraph"/>
        <w:spacing w:before="120" w:after="120"/>
        <w:ind w:left="0"/>
        <w:contextualSpacing w:val="0"/>
        <w:jc w:val="both"/>
        <w:rPr>
          <w:lang w:val="en-US"/>
        </w:rPr>
      </w:pPr>
      <w:bookmarkStart w:id="1" w:name="_Hlk525462591"/>
      <w:r w:rsidRPr="00E5465C">
        <w:rPr>
          <w:lang w:val="en-US"/>
        </w:rPr>
        <w:t xml:space="preserve">In RAN Meeting #96, the </w:t>
      </w:r>
      <w:hyperlink r:id="rId12" w:history="1">
        <w:r w:rsidR="005D11BB" w:rsidRPr="00620478">
          <w:rPr>
            <w:rStyle w:val="Hyperlink"/>
            <w:lang w:val="en-US"/>
          </w:rPr>
          <w:t>WID</w:t>
        </w:r>
      </w:hyperlink>
      <w:r w:rsidR="005D11BB">
        <w:rPr>
          <w:lang w:val="en-US"/>
        </w:rPr>
        <w:t xml:space="preserve"> </w:t>
      </w:r>
      <w:r w:rsidRPr="00E5465C">
        <w:rPr>
          <w:lang w:val="en-US"/>
        </w:rPr>
        <w:t>on NR sidelink evolution was agreed. It includes the following objective for operation of sidelink in unlicensed spectrum:</w:t>
      </w:r>
    </w:p>
    <w:tbl>
      <w:tblPr>
        <w:tblStyle w:val="TableGrid"/>
        <w:tblW w:w="0" w:type="auto"/>
        <w:tblLook w:val="04A0" w:firstRow="1" w:lastRow="0" w:firstColumn="1" w:lastColumn="0" w:noHBand="0" w:noVBand="1"/>
      </w:tblPr>
      <w:tblGrid>
        <w:gridCol w:w="9631"/>
      </w:tblGrid>
      <w:tr w:rsidR="000C0D10" w:rsidRPr="00E5465C" w14:paraId="3E68A09C" w14:textId="77777777" w:rsidTr="00663C2C">
        <w:tc>
          <w:tcPr>
            <w:tcW w:w="9962" w:type="dxa"/>
          </w:tcPr>
          <w:bookmarkEnd w:id="1"/>
          <w:p w14:paraId="63B9778A" w14:textId="77777777" w:rsidR="000C0D10" w:rsidRPr="00E5465C" w:rsidRDefault="000C0D10" w:rsidP="00663C2C">
            <w:pPr>
              <w:spacing w:before="120" w:after="0"/>
              <w:ind w:left="426" w:hanging="284"/>
              <w:rPr>
                <w:rFonts w:ascii="Times New Roman" w:eastAsia="Batang" w:hAnsi="Times New Roman"/>
                <w:lang w:eastAsia="en-GB"/>
              </w:rPr>
            </w:pPr>
            <w:r w:rsidRPr="00E5465C">
              <w:rPr>
                <w:rFonts w:ascii="Times New Roman" w:eastAsia="Batang" w:hAnsi="Times New Roman"/>
                <w:lang w:eastAsia="en-GB"/>
              </w:rPr>
              <w:t>2.</w:t>
            </w:r>
            <w:r w:rsidRPr="00E5465C">
              <w:rPr>
                <w:rFonts w:ascii="Times New Roman" w:eastAsia="Batang" w:hAnsi="Times New Roman"/>
                <w:lang w:eastAsia="en-GB"/>
              </w:rPr>
              <w:tab/>
              <w:t xml:space="preserve">Study and specify support of sidelink on unlicensed spectrum for both mode 1 and mode 2 where </w:t>
            </w:r>
            <w:proofErr w:type="spellStart"/>
            <w:r w:rsidRPr="00E5465C">
              <w:rPr>
                <w:rFonts w:ascii="Times New Roman" w:eastAsia="Batang" w:hAnsi="Times New Roman"/>
                <w:lang w:eastAsia="en-GB"/>
              </w:rPr>
              <w:t>Uu</w:t>
            </w:r>
            <w:proofErr w:type="spellEnd"/>
            <w:r w:rsidRPr="00E5465C">
              <w:rPr>
                <w:rFonts w:ascii="Times New Roman" w:eastAsia="Batang" w:hAnsi="Times New Roman"/>
                <w:lang w:eastAsia="en-GB"/>
              </w:rPr>
              <w:t xml:space="preserve"> operation for mode 1 is limited to licensed spectrum only [RAN1, RAN2, RAN4]</w:t>
            </w:r>
          </w:p>
          <w:p w14:paraId="5D2BD4A7" w14:textId="77777777" w:rsidR="000C0D10" w:rsidRPr="00E5465C" w:rsidRDefault="000C0D10" w:rsidP="00663C2C">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Channel access mechanisms from NR-U shall be reused for sidelink unlicensed operation</w:t>
            </w:r>
          </w:p>
          <w:p w14:paraId="7589FD9B" w14:textId="77777777" w:rsidR="000C0D10" w:rsidRPr="00E5465C" w:rsidRDefault="000C0D10" w:rsidP="00663C2C">
            <w:pPr>
              <w:spacing w:before="60" w:after="60"/>
              <w:ind w:left="1418" w:hanging="284"/>
              <w:rPr>
                <w:rFonts w:ascii="Times New Roman" w:eastAsia="Batang" w:hAnsi="Times New Roman"/>
                <w:lang w:eastAsia="ko-KR"/>
              </w:rPr>
            </w:pPr>
            <w:bookmarkStart w:id="2" w:name="_Hlk89917081"/>
            <w:r w:rsidRPr="00E5465C">
              <w:rPr>
                <w:rFonts w:ascii="Times New Roman" w:eastAsia="Batang" w:hAnsi="Times New Roman"/>
                <w:lang w:eastAsia="ko-KR"/>
              </w:rPr>
              <w:t>o</w:t>
            </w:r>
            <w:r w:rsidRPr="00E5465C">
              <w:rPr>
                <w:rFonts w:ascii="Times New Roman" w:eastAsia="Batang" w:hAnsi="Times New Roman"/>
                <w:lang w:eastAsia="ko-KR"/>
              </w:rPr>
              <w:tab/>
              <w:t>Assess the applicability of sidelink resource reservation from Rel-16/Rel-17 to sidelink unlicensed operation within the boundaries of unlicensed channel access mechanism and operation</w:t>
            </w:r>
          </w:p>
          <w:p w14:paraId="49D31593" w14:textId="77777777" w:rsidR="000C0D10" w:rsidRPr="00E5465C" w:rsidRDefault="000C0D10" w:rsidP="00663C2C">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No specific enhancements for Rel-17 resource allocation mechanisms</w:t>
            </w:r>
            <w:bookmarkEnd w:id="2"/>
          </w:p>
          <w:p w14:paraId="41EF8264" w14:textId="77777777" w:rsidR="000C0D10" w:rsidRPr="00E5465C" w:rsidRDefault="000C0D10" w:rsidP="00663C2C">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If the existing NR-U channel access framework does not support the required SL-U functionality, WGs will make appropriate recommendations for RAN approval.</w:t>
            </w:r>
          </w:p>
          <w:p w14:paraId="1C6A15F0" w14:textId="77777777" w:rsidR="000C0D10" w:rsidRPr="00E5465C" w:rsidRDefault="000C0D10" w:rsidP="00663C2C">
            <w:pPr>
              <w:spacing w:before="60" w:after="60"/>
              <w:ind w:left="993" w:hanging="284"/>
              <w:rPr>
                <w:rFonts w:ascii="Times New Roman" w:eastAsia="Batang" w:hAnsi="Times New Roman"/>
                <w:lang w:eastAsia="ko-KR"/>
              </w:rPr>
            </w:pPr>
            <w:bookmarkStart w:id="3" w:name="_Hlk89917101"/>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Physical channel design framework: Required changes to NR sidelink physical channel structures and procedures to operate on unlicensed spectrum</w:t>
            </w:r>
            <w:bookmarkEnd w:id="3"/>
          </w:p>
          <w:p w14:paraId="2CD86956" w14:textId="77777777" w:rsidR="000C0D10" w:rsidRPr="00E5465C" w:rsidRDefault="000C0D10" w:rsidP="00663C2C">
            <w:pPr>
              <w:spacing w:before="60" w:after="60"/>
              <w:ind w:left="1418" w:hanging="284"/>
              <w:rPr>
                <w:rFonts w:ascii="Times New Roman" w:eastAsia="Batang" w:hAnsi="Times New Roman"/>
                <w:lang w:eastAsia="ko-KR"/>
              </w:rPr>
            </w:pPr>
            <w:bookmarkStart w:id="4" w:name="_Hlk89917118"/>
            <w:r w:rsidRPr="00E5465C">
              <w:rPr>
                <w:rFonts w:ascii="Times New Roman" w:eastAsia="Batang" w:hAnsi="Times New Roman"/>
                <w:lang w:eastAsia="ko-KR"/>
              </w:rPr>
              <w:t>o</w:t>
            </w:r>
            <w:r w:rsidRPr="00E5465C">
              <w:rPr>
                <w:rFonts w:ascii="Times New Roman" w:eastAsia="Batang" w:hAnsi="Times New Roman"/>
                <w:lang w:eastAsia="ko-KR"/>
              </w:rPr>
              <w:tab/>
            </w:r>
            <w:proofErr w:type="gramStart"/>
            <w:r w:rsidRPr="00E5465C">
              <w:rPr>
                <w:rFonts w:ascii="Times New Roman" w:eastAsia="Batang" w:hAnsi="Times New Roman"/>
                <w:lang w:eastAsia="ko-KR"/>
              </w:rPr>
              <w:t>The</w:t>
            </w:r>
            <w:proofErr w:type="gramEnd"/>
            <w:r w:rsidRPr="00E5465C">
              <w:rPr>
                <w:rFonts w:ascii="Times New Roman" w:eastAsia="Batang" w:hAnsi="Times New Roman"/>
                <w:lang w:eastAsia="ko-KR"/>
              </w:rPr>
              <w:t xml:space="preserve"> existing NR sidelink and NR-U channel structure shall be reused </w:t>
            </w:r>
            <w:bookmarkEnd w:id="4"/>
            <w:r w:rsidRPr="00E5465C">
              <w:rPr>
                <w:rFonts w:ascii="Times New Roman" w:eastAsia="Batang" w:hAnsi="Times New Roman"/>
                <w:lang w:eastAsia="ko-KR"/>
              </w:rPr>
              <w:t>as the baseline.</w:t>
            </w:r>
          </w:p>
          <w:p w14:paraId="054DD738" w14:textId="77777777" w:rsidR="000C0D10" w:rsidRPr="00E5465C" w:rsidRDefault="000C0D10" w:rsidP="00663C2C">
            <w:pPr>
              <w:spacing w:before="60" w:after="60"/>
              <w:ind w:left="993" w:hanging="284"/>
              <w:rPr>
                <w:rFonts w:ascii="Times New Roman" w:eastAsia="Batang" w:hAnsi="Times New Roman"/>
                <w:lang w:eastAsia="ko-KR"/>
              </w:rPr>
            </w:pPr>
            <w:bookmarkStart w:id="5" w:name="_Hlk89917140"/>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 specific enhancements for existing NR SL feature</w:t>
            </w:r>
            <w:bookmarkEnd w:id="5"/>
          </w:p>
          <w:p w14:paraId="1646440E" w14:textId="77777777" w:rsidR="000C0D10" w:rsidRPr="00E5465C" w:rsidRDefault="000C0D10" w:rsidP="00663C2C">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The study should focus on FR1 unlicensed bands (n46 and n96/n102) and is to be completed by RAN#98</w:t>
            </w:r>
            <w:bookmarkStart w:id="6" w:name="_Hlk89917215"/>
            <w:r w:rsidRPr="00E5465C">
              <w:rPr>
                <w:rFonts w:ascii="Times New Roman" w:eastAsia="Batang" w:hAnsi="Times New Roman"/>
                <w:lang w:eastAsia="ko-KR"/>
              </w:rPr>
              <w:t>.</w:t>
            </w:r>
            <w:bookmarkEnd w:id="6"/>
          </w:p>
          <w:p w14:paraId="20AD9638" w14:textId="77777777" w:rsidR="000C0D10" w:rsidRPr="00E5465C" w:rsidRDefault="000C0D10" w:rsidP="00663C2C">
            <w:pPr>
              <w:spacing w:before="60" w:after="60"/>
              <w:ind w:left="993" w:hanging="284"/>
              <w:rPr>
                <w:rFonts w:ascii="Times New Roman"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EE65856" w14:textId="3ED8CF57" w:rsidR="000C0D10" w:rsidRDefault="000C0D10" w:rsidP="000C0D10">
      <w:pPr>
        <w:pStyle w:val="ListParagraph"/>
        <w:spacing w:before="120" w:after="120"/>
        <w:ind w:left="0"/>
        <w:contextualSpacing w:val="0"/>
        <w:jc w:val="both"/>
        <w:rPr>
          <w:lang w:val="en-US"/>
        </w:rPr>
      </w:pPr>
      <w:r w:rsidRPr="00E5465C">
        <w:rPr>
          <w:lang w:val="en-US"/>
        </w:rPr>
        <w:t xml:space="preserve">In this contribution, we discuss aspects related to </w:t>
      </w:r>
      <w:r>
        <w:rPr>
          <w:lang w:val="en-US"/>
        </w:rPr>
        <w:t>Sidelink DRX and remaining CAPC issues.</w:t>
      </w:r>
    </w:p>
    <w:p w14:paraId="55D4C842" w14:textId="7B57AC04" w:rsidR="00E76143" w:rsidRDefault="009C2EAB" w:rsidP="00E76143">
      <w:pPr>
        <w:pStyle w:val="Heading1"/>
      </w:pPr>
      <w:r>
        <w:t>2</w:t>
      </w:r>
      <w:r w:rsidR="00CB4910">
        <w:tab/>
      </w:r>
      <w:r w:rsidR="00CB4910" w:rsidRPr="0046112E">
        <w:t xml:space="preserve">On </w:t>
      </w:r>
      <w:r w:rsidR="003617D0">
        <w:t>Sidelink DRX</w:t>
      </w:r>
    </w:p>
    <w:p w14:paraId="5EB06530" w14:textId="2C594EF8" w:rsidR="00F1603B" w:rsidRPr="00F1603B" w:rsidRDefault="00F23AA3" w:rsidP="00F1603B">
      <w:pPr>
        <w:pStyle w:val="ListParagraph"/>
        <w:spacing w:before="120" w:after="120"/>
        <w:ind w:left="0"/>
        <w:contextualSpacing w:val="0"/>
        <w:jc w:val="both"/>
        <w:rPr>
          <w:lang w:val="en-US"/>
        </w:rPr>
      </w:pPr>
      <w:r w:rsidRPr="00F1603B">
        <w:rPr>
          <w:lang w:val="en-US"/>
        </w:rPr>
        <w:t>In RAN</w:t>
      </w:r>
      <w:r w:rsidR="00D62FA1" w:rsidRPr="00F1603B">
        <w:rPr>
          <w:lang w:val="en-US"/>
        </w:rPr>
        <w:t>2#120, the following agreements were made in relation to the impact of</w:t>
      </w:r>
      <w:r w:rsidR="001410BD" w:rsidRPr="00F1603B">
        <w:rPr>
          <w:lang w:val="en-US"/>
        </w:rPr>
        <w:t xml:space="preserve"> operation in unlicensed spectrum into the</w:t>
      </w:r>
      <w:r w:rsidR="00D62FA1" w:rsidRPr="00F1603B">
        <w:rPr>
          <w:lang w:val="en-US"/>
        </w:rPr>
        <w:t xml:space="preserve"> SL-DRX </w:t>
      </w:r>
      <w:r w:rsidR="001410BD" w:rsidRPr="00F1603B">
        <w:rPr>
          <w:lang w:val="en-US"/>
        </w:rPr>
        <w:t>procedure:</w:t>
      </w:r>
    </w:p>
    <w:tbl>
      <w:tblPr>
        <w:tblStyle w:val="TableGrid"/>
        <w:tblW w:w="0" w:type="auto"/>
        <w:tblLook w:val="04A0" w:firstRow="1" w:lastRow="0" w:firstColumn="1" w:lastColumn="0" w:noHBand="0" w:noVBand="1"/>
      </w:tblPr>
      <w:tblGrid>
        <w:gridCol w:w="9631"/>
      </w:tblGrid>
      <w:tr w:rsidR="00F1603B" w14:paraId="6B911E0F" w14:textId="77777777" w:rsidTr="00B45CD9">
        <w:tc>
          <w:tcPr>
            <w:tcW w:w="9631" w:type="dxa"/>
          </w:tcPr>
          <w:p w14:paraId="3026DCB9" w14:textId="77777777" w:rsidR="00F1603B" w:rsidRPr="000F51B0" w:rsidRDefault="00F1603B" w:rsidP="00B45CD9">
            <w:pPr>
              <w:spacing w:before="120" w:after="120"/>
              <w:jc w:val="both"/>
            </w:pPr>
            <w:r w:rsidRPr="000F51B0">
              <w:t>Agreements on SL DRX impact</w:t>
            </w:r>
          </w:p>
          <w:p w14:paraId="5DEE6977" w14:textId="77777777" w:rsidR="00F1603B" w:rsidRPr="000F51B0" w:rsidRDefault="00F1603B" w:rsidP="00B45CD9">
            <w:pPr>
              <w:spacing w:before="120" w:after="120"/>
              <w:jc w:val="both"/>
            </w:pPr>
            <w:r w:rsidRPr="000F51B0">
              <w:t xml:space="preserve">1: </w:t>
            </w:r>
            <w:r w:rsidRPr="000F51B0">
              <w:tab/>
              <w:t xml:space="preserve">If there is one PSFCH resource for a PSSCH, start </w:t>
            </w:r>
            <w:proofErr w:type="spellStart"/>
            <w:r w:rsidRPr="000F51B0">
              <w:t>sl</w:t>
            </w:r>
            <w:proofErr w:type="spellEnd"/>
            <w:r w:rsidRPr="000F51B0">
              <w:t>-</w:t>
            </w:r>
            <w:proofErr w:type="spellStart"/>
            <w:r w:rsidRPr="000F51B0">
              <w:t>drx</w:t>
            </w:r>
            <w:proofErr w:type="spellEnd"/>
            <w:r w:rsidRPr="000F51B0">
              <w:t>-HARQ-RTT-Timer for the corresponding Sidelink process in the first slot after the end of the corresponding PSFCH resource when the SL HARQ feedback is not transmitted due to the LBT failure.</w:t>
            </w:r>
          </w:p>
          <w:p w14:paraId="1E50E648" w14:textId="77777777" w:rsidR="00F1603B" w:rsidRDefault="00F1603B" w:rsidP="00B45CD9">
            <w:pPr>
              <w:pStyle w:val="ListParagraph"/>
              <w:spacing w:before="120" w:after="120"/>
              <w:ind w:left="0"/>
              <w:contextualSpacing w:val="0"/>
              <w:jc w:val="both"/>
            </w:pPr>
            <w:r>
              <w:t xml:space="preserve">2: </w:t>
            </w:r>
            <w:r>
              <w:tab/>
              <w:t>RAN2 waits for RAN1 decision/progress for multiple PSFCH resources case</w:t>
            </w:r>
          </w:p>
          <w:p w14:paraId="209F08C9" w14:textId="4198F760" w:rsidR="00F1603B" w:rsidRPr="00C37F74" w:rsidRDefault="00F1603B" w:rsidP="00B45CD9">
            <w:pPr>
              <w:spacing w:before="120" w:after="120"/>
              <w:jc w:val="both"/>
            </w:pPr>
            <w:r w:rsidRPr="00C37F74">
              <w:t>Agreements on SL COT sharing</w:t>
            </w:r>
            <w:r>
              <w:t>:</w:t>
            </w:r>
          </w:p>
          <w:p w14:paraId="1020DC71" w14:textId="77777777" w:rsidR="00F1603B" w:rsidRPr="00C37F74" w:rsidRDefault="00F1603B" w:rsidP="00B45CD9">
            <w:pPr>
              <w:spacing w:before="120" w:after="120"/>
              <w:jc w:val="both"/>
            </w:pPr>
            <w:r w:rsidRPr="00C37F74">
              <w:t xml:space="preserve">1: </w:t>
            </w:r>
            <w:r w:rsidRPr="00C37F74">
              <w:tab/>
              <w:t>RAN2 will study whether/how LCP is impacted from COT sharing.</w:t>
            </w:r>
          </w:p>
          <w:p w14:paraId="57B59139" w14:textId="77777777" w:rsidR="00F1603B" w:rsidRDefault="00F1603B" w:rsidP="00B45CD9">
            <w:pPr>
              <w:pStyle w:val="ListParagraph"/>
              <w:spacing w:before="120" w:after="120"/>
              <w:ind w:left="0"/>
              <w:contextualSpacing w:val="0"/>
              <w:jc w:val="both"/>
            </w:pPr>
            <w:r>
              <w:t xml:space="preserve">2: </w:t>
            </w:r>
            <w:r>
              <w:tab/>
              <w:t>RAN2 will consider interaction between DRX operation and shared COT.</w:t>
            </w:r>
          </w:p>
        </w:tc>
      </w:tr>
    </w:tbl>
    <w:p w14:paraId="3EC8722A" w14:textId="77777777" w:rsidR="00F1603B" w:rsidRDefault="00F1603B" w:rsidP="006D7DAE">
      <w:pPr>
        <w:pStyle w:val="Comments"/>
        <w:rPr>
          <w:i w:val="0"/>
          <w:iCs/>
        </w:rPr>
      </w:pPr>
    </w:p>
    <w:p w14:paraId="0EA94F73" w14:textId="5FDB2612" w:rsidR="00825E1E" w:rsidRDefault="00825E1E" w:rsidP="006D7DAE">
      <w:pPr>
        <w:pStyle w:val="Comments"/>
        <w:rPr>
          <w:i w:val="0"/>
          <w:iCs/>
        </w:rPr>
      </w:pPr>
      <w:r>
        <w:rPr>
          <w:i w:val="0"/>
          <w:iCs/>
        </w:rPr>
        <w:lastRenderedPageBreak/>
        <w:t xml:space="preserve">The Sidelink DRX feature generally consists of </w:t>
      </w:r>
      <w:r w:rsidR="006351D7">
        <w:rPr>
          <w:i w:val="0"/>
          <w:iCs/>
        </w:rPr>
        <w:t xml:space="preserve">a configured </w:t>
      </w:r>
      <w:r>
        <w:rPr>
          <w:i w:val="0"/>
          <w:iCs/>
        </w:rPr>
        <w:t xml:space="preserve">DRX period wherein a single DRX active time, and a single DRX off period is present. </w:t>
      </w:r>
      <w:r w:rsidR="00A33797">
        <w:rPr>
          <w:i w:val="0"/>
          <w:iCs/>
        </w:rPr>
        <w:t xml:space="preserve">Hereby stating, that there is no short DRX, or other opportunities for </w:t>
      </w:r>
      <w:r w:rsidR="002543B2">
        <w:rPr>
          <w:i w:val="0"/>
          <w:iCs/>
        </w:rPr>
        <w:t xml:space="preserve">small sleep durations within the DRX active time definition. It was even agreed that the </w:t>
      </w:r>
      <w:r w:rsidR="00595A2A">
        <w:rPr>
          <w:i w:val="0"/>
          <w:iCs/>
        </w:rPr>
        <w:t>periodic transmissions associated to an SCI are all included in the active time, even though this was less power efficient.</w:t>
      </w:r>
      <w:r w:rsidR="00AA36E1">
        <w:rPr>
          <w:i w:val="0"/>
          <w:iCs/>
        </w:rPr>
        <w:t xml:space="preserve"> Since the </w:t>
      </w:r>
      <w:r w:rsidR="003E6B35">
        <w:rPr>
          <w:i w:val="0"/>
          <w:iCs/>
        </w:rPr>
        <w:t xml:space="preserve">current Rel-18 work item does not have DRX enhancements in scope, we </w:t>
      </w:r>
      <w:r w:rsidR="006F7A1F">
        <w:rPr>
          <w:i w:val="0"/>
          <w:iCs/>
        </w:rPr>
        <w:t>think it only make sense to discuss DRX impact on procedures which may enhance the DRX active time.</w:t>
      </w:r>
    </w:p>
    <w:p w14:paraId="7D6BB9C5" w14:textId="77777777" w:rsidR="002543B2" w:rsidRDefault="002543B2" w:rsidP="006D7DAE">
      <w:pPr>
        <w:pStyle w:val="Comments"/>
        <w:rPr>
          <w:i w:val="0"/>
          <w:iCs/>
        </w:rPr>
      </w:pPr>
    </w:p>
    <w:p w14:paraId="6C37E4CB" w14:textId="64352665" w:rsidR="00F1603B" w:rsidRDefault="00A33A24" w:rsidP="006D7DAE">
      <w:pPr>
        <w:pStyle w:val="Comments"/>
        <w:rPr>
          <w:i w:val="0"/>
          <w:iCs/>
        </w:rPr>
      </w:pPr>
      <w:r>
        <w:rPr>
          <w:i w:val="0"/>
          <w:iCs/>
        </w:rPr>
        <w:t xml:space="preserve">It </w:t>
      </w:r>
      <w:r w:rsidR="006A1AEE">
        <w:rPr>
          <w:i w:val="0"/>
          <w:iCs/>
        </w:rPr>
        <w:t>has</w:t>
      </w:r>
      <w:r>
        <w:rPr>
          <w:i w:val="0"/>
          <w:iCs/>
        </w:rPr>
        <w:t xml:space="preserve"> already </w:t>
      </w:r>
      <w:r w:rsidR="006A1AEE">
        <w:rPr>
          <w:i w:val="0"/>
          <w:iCs/>
        </w:rPr>
        <w:t xml:space="preserve">been </w:t>
      </w:r>
      <w:r>
        <w:rPr>
          <w:i w:val="0"/>
          <w:iCs/>
        </w:rPr>
        <w:t>agreed to discuss the impact on</w:t>
      </w:r>
      <w:r w:rsidR="006A1AEE">
        <w:rPr>
          <w:i w:val="0"/>
          <w:iCs/>
        </w:rPr>
        <w:t xml:space="preserve"> shared COT </w:t>
      </w:r>
      <w:r w:rsidR="00C819A8">
        <w:rPr>
          <w:i w:val="0"/>
          <w:iCs/>
        </w:rPr>
        <w:t>or</w:t>
      </w:r>
      <w:r w:rsidR="007D28BF">
        <w:rPr>
          <w:i w:val="0"/>
          <w:iCs/>
        </w:rPr>
        <w:t xml:space="preserve"> PSFCH</w:t>
      </w:r>
      <w:r w:rsidR="00C819A8">
        <w:rPr>
          <w:i w:val="0"/>
          <w:iCs/>
        </w:rPr>
        <w:t xml:space="preserve"> </w:t>
      </w:r>
      <w:r w:rsidR="006A1AEE">
        <w:rPr>
          <w:i w:val="0"/>
          <w:iCs/>
        </w:rPr>
        <w:t>and sidelink DRX, however</w:t>
      </w:r>
      <w:r w:rsidR="00F1603B">
        <w:rPr>
          <w:i w:val="0"/>
          <w:iCs/>
        </w:rPr>
        <w:t xml:space="preserve"> there was no progress in RAN1 regarding </w:t>
      </w:r>
      <w:r w:rsidR="00435CEA">
        <w:rPr>
          <w:i w:val="0"/>
          <w:iCs/>
        </w:rPr>
        <w:t xml:space="preserve">both </w:t>
      </w:r>
      <w:r w:rsidR="00F1603B">
        <w:rPr>
          <w:i w:val="0"/>
          <w:iCs/>
        </w:rPr>
        <w:t xml:space="preserve">multiple PSFCH and </w:t>
      </w:r>
      <w:r w:rsidR="00435CEA">
        <w:rPr>
          <w:i w:val="0"/>
          <w:iCs/>
        </w:rPr>
        <w:t>shared COT conditions</w:t>
      </w:r>
      <w:r w:rsidR="00ED7644">
        <w:rPr>
          <w:i w:val="0"/>
          <w:iCs/>
        </w:rPr>
        <w:t xml:space="preserve">. As to not </w:t>
      </w:r>
      <w:r w:rsidR="000924EF">
        <w:rPr>
          <w:i w:val="0"/>
          <w:iCs/>
        </w:rPr>
        <w:t>diverge from the design of Rel-17 SL DRX</w:t>
      </w:r>
      <w:r w:rsidR="00435CEA">
        <w:rPr>
          <w:i w:val="0"/>
          <w:iCs/>
        </w:rPr>
        <w:t xml:space="preserve"> RAN2 should </w:t>
      </w:r>
      <w:r w:rsidR="000924EF">
        <w:rPr>
          <w:i w:val="0"/>
          <w:iCs/>
        </w:rPr>
        <w:t xml:space="preserve">at least </w:t>
      </w:r>
      <w:r w:rsidR="00107B82">
        <w:rPr>
          <w:i w:val="0"/>
          <w:iCs/>
        </w:rPr>
        <w:t>postpone the discussion of any DRX enhancements until these two aspects are clear.</w:t>
      </w:r>
    </w:p>
    <w:p w14:paraId="58020136" w14:textId="77777777" w:rsidR="00107B82" w:rsidRDefault="00107B82" w:rsidP="006D7DAE">
      <w:pPr>
        <w:pStyle w:val="Comments"/>
        <w:rPr>
          <w:i w:val="0"/>
          <w:iCs/>
        </w:rPr>
      </w:pPr>
    </w:p>
    <w:p w14:paraId="574BFA54" w14:textId="117712B3" w:rsidR="00A12D2F" w:rsidRDefault="00A12D2F" w:rsidP="00A12D2F">
      <w:pPr>
        <w:spacing w:after="240"/>
        <w:jc w:val="both"/>
        <w:rPr>
          <w:b/>
          <w:lang w:val="en-US"/>
        </w:rPr>
      </w:pPr>
      <w:r w:rsidRPr="0C4DC73B">
        <w:rPr>
          <w:b/>
          <w:bCs/>
          <w:lang w:val="en-US"/>
        </w:rPr>
        <w:t xml:space="preserve">Proposal </w:t>
      </w:r>
      <w:r w:rsidRPr="5A708491">
        <w:rPr>
          <w:b/>
          <w:color w:val="2B579A"/>
          <w:lang w:val="en-US"/>
        </w:rPr>
        <w:fldChar w:fldCharType="begin"/>
      </w:r>
      <w:r w:rsidRPr="002137EB">
        <w:rPr>
          <w:b/>
          <w:lang w:val="en-US"/>
        </w:rPr>
        <w:instrText xml:space="preserve"> SEQ Proposal \* Arabic </w:instrText>
      </w:r>
      <w:r w:rsidRPr="5A708491">
        <w:rPr>
          <w:b/>
          <w:color w:val="2B579A"/>
          <w:lang w:val="en-US"/>
        </w:rPr>
        <w:fldChar w:fldCharType="separate"/>
      </w:r>
      <w:r>
        <w:rPr>
          <w:b/>
          <w:noProof/>
          <w:lang w:val="en-US"/>
        </w:rPr>
        <w:t>1</w:t>
      </w:r>
      <w:r w:rsidRPr="5A708491">
        <w:rPr>
          <w:b/>
          <w:color w:val="2B579A"/>
          <w:lang w:val="en-US"/>
        </w:rPr>
        <w:fldChar w:fldCharType="end"/>
      </w:r>
      <w:r w:rsidRPr="00375BCA">
        <w:rPr>
          <w:b/>
          <w:lang w:val="en-US"/>
        </w:rPr>
        <w:t xml:space="preserve">: RAN2 </w:t>
      </w:r>
      <w:r>
        <w:rPr>
          <w:b/>
          <w:lang w:val="en-US"/>
        </w:rPr>
        <w:t xml:space="preserve">to </w:t>
      </w:r>
      <w:r w:rsidR="00411A30">
        <w:rPr>
          <w:b/>
          <w:lang w:val="en-US"/>
        </w:rPr>
        <w:t>deprioritize work</w:t>
      </w:r>
      <w:r>
        <w:rPr>
          <w:b/>
          <w:lang w:val="en-US"/>
        </w:rPr>
        <w:t xml:space="preserve"> on</w:t>
      </w:r>
      <w:r w:rsidR="00411A30">
        <w:rPr>
          <w:b/>
          <w:lang w:val="en-US"/>
        </w:rPr>
        <w:t xml:space="preserve"> unlicensed operations specific</w:t>
      </w:r>
      <w:r>
        <w:rPr>
          <w:b/>
          <w:lang w:val="en-US"/>
        </w:rPr>
        <w:t xml:space="preserve"> DRX enhancements until </w:t>
      </w:r>
      <w:r w:rsidR="00431C0A">
        <w:rPr>
          <w:b/>
          <w:lang w:val="en-US"/>
        </w:rPr>
        <w:t xml:space="preserve">at least </w:t>
      </w:r>
      <w:r>
        <w:rPr>
          <w:b/>
          <w:lang w:val="en-US"/>
        </w:rPr>
        <w:t xml:space="preserve">the </w:t>
      </w:r>
      <w:r w:rsidR="00BB3466">
        <w:rPr>
          <w:b/>
          <w:lang w:val="en-US"/>
        </w:rPr>
        <w:t>multiple PSFCH</w:t>
      </w:r>
      <w:r w:rsidR="00431C0A">
        <w:rPr>
          <w:b/>
          <w:lang w:val="en-US"/>
        </w:rPr>
        <w:t xml:space="preserve"> resources</w:t>
      </w:r>
      <w:r w:rsidR="00BB3466">
        <w:rPr>
          <w:b/>
          <w:lang w:val="en-US"/>
        </w:rPr>
        <w:t xml:space="preserve"> and shared COT conditions design in RAN1 has</w:t>
      </w:r>
      <w:r w:rsidR="00411A30">
        <w:rPr>
          <w:b/>
          <w:lang w:val="en-US"/>
        </w:rPr>
        <w:t xml:space="preserve"> progressed</w:t>
      </w:r>
      <w:r w:rsidR="00A33A24">
        <w:rPr>
          <w:b/>
          <w:lang w:val="en-US"/>
        </w:rPr>
        <w:t>, or other issues are found which may prolong the UE active time</w:t>
      </w:r>
      <w:r w:rsidR="00411A30">
        <w:rPr>
          <w:b/>
          <w:lang w:val="en-US"/>
        </w:rPr>
        <w:t>.</w:t>
      </w:r>
      <w:r w:rsidRPr="00375BCA">
        <w:rPr>
          <w:b/>
          <w:lang w:val="en-US"/>
        </w:rPr>
        <w:t xml:space="preserve"> </w:t>
      </w:r>
    </w:p>
    <w:p w14:paraId="2790DDD7" w14:textId="754A025C" w:rsidR="0041224D" w:rsidRDefault="0041224D" w:rsidP="0041224D">
      <w:pPr>
        <w:pStyle w:val="Heading1"/>
      </w:pPr>
      <w:r>
        <w:t>3</w:t>
      </w:r>
      <w:r>
        <w:tab/>
        <w:t>On Remaining CAPC issues</w:t>
      </w:r>
    </w:p>
    <w:p w14:paraId="27C632AF" w14:textId="4776B12B" w:rsidR="00854CDE" w:rsidRDefault="00854CDE" w:rsidP="00453C6B">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In </w:t>
      </w:r>
      <w:r w:rsidRPr="00854CDE">
        <w:rPr>
          <w:rStyle w:val="normaltextrun"/>
          <w:sz w:val="20"/>
          <w:szCs w:val="20"/>
          <w:lang w:val="en-GB"/>
        </w:rPr>
        <w:t>RAN2#120,</w:t>
      </w:r>
      <w:r>
        <w:rPr>
          <w:rStyle w:val="normaltextrun"/>
          <w:sz w:val="20"/>
          <w:szCs w:val="20"/>
          <w:lang w:val="en-GB"/>
        </w:rPr>
        <w:t xml:space="preserve"> </w:t>
      </w:r>
      <w:r w:rsidR="001E63B5" w:rsidRPr="001E63B5">
        <w:rPr>
          <w:rStyle w:val="normaltextrun"/>
          <w:sz w:val="20"/>
          <w:szCs w:val="20"/>
          <w:lang w:val="en-GB"/>
        </w:rPr>
        <w:t xml:space="preserve">the following </w:t>
      </w:r>
      <w:r w:rsidR="00931F16">
        <w:rPr>
          <w:rStyle w:val="normaltextrun"/>
          <w:sz w:val="20"/>
          <w:szCs w:val="20"/>
          <w:lang w:val="en-GB"/>
        </w:rPr>
        <w:t>working assumptions</w:t>
      </w:r>
      <w:r w:rsidR="001E63B5" w:rsidRPr="001E63B5">
        <w:rPr>
          <w:rStyle w:val="normaltextrun"/>
          <w:sz w:val="20"/>
          <w:szCs w:val="20"/>
          <w:lang w:val="en-GB"/>
        </w:rPr>
        <w:t xml:space="preserve"> were made in relation to</w:t>
      </w:r>
      <w:r w:rsidR="001E63B5">
        <w:rPr>
          <w:rStyle w:val="normaltextrun"/>
          <w:sz w:val="20"/>
          <w:szCs w:val="20"/>
          <w:lang w:val="en-GB"/>
        </w:rPr>
        <w:t xml:space="preserve"> </w:t>
      </w:r>
      <w:r w:rsidR="00931F16">
        <w:rPr>
          <w:rStyle w:val="normaltextrun"/>
          <w:sz w:val="20"/>
          <w:szCs w:val="20"/>
          <w:lang w:val="en-GB"/>
        </w:rPr>
        <w:t>SL CAPC mapping:</w:t>
      </w:r>
    </w:p>
    <w:tbl>
      <w:tblPr>
        <w:tblStyle w:val="TableGrid"/>
        <w:tblW w:w="0" w:type="auto"/>
        <w:tblLook w:val="04A0" w:firstRow="1" w:lastRow="0" w:firstColumn="1" w:lastColumn="0" w:noHBand="0" w:noVBand="1"/>
      </w:tblPr>
      <w:tblGrid>
        <w:gridCol w:w="9631"/>
      </w:tblGrid>
      <w:tr w:rsidR="00931F16" w14:paraId="32557BDC" w14:textId="77777777" w:rsidTr="00931F16">
        <w:tc>
          <w:tcPr>
            <w:tcW w:w="9631" w:type="dxa"/>
          </w:tcPr>
          <w:p w14:paraId="4ECFB49E" w14:textId="0AA43A5B" w:rsidR="00DC1853" w:rsidRDefault="00DC1853" w:rsidP="00DC1853">
            <w:pPr>
              <w:pStyle w:val="paragraph"/>
              <w:spacing w:before="0" w:beforeAutospacing="0" w:after="0" w:afterAutospacing="0"/>
              <w:textAlignment w:val="baseline"/>
              <w:rPr>
                <w:sz w:val="22"/>
                <w:szCs w:val="22"/>
              </w:rPr>
            </w:pPr>
            <w:r>
              <w:rPr>
                <w:rStyle w:val="normaltextrun"/>
                <w:sz w:val="20"/>
                <w:szCs w:val="20"/>
                <w:lang w:val="en-GB"/>
              </w:rPr>
              <w:t>Working assumptions:</w:t>
            </w:r>
          </w:p>
          <w:p w14:paraId="1150E014" w14:textId="77777777" w:rsidR="00DC1853" w:rsidRDefault="00DC1853" w:rsidP="00DC1853">
            <w:pPr>
              <w:pStyle w:val="paragraph"/>
              <w:numPr>
                <w:ilvl w:val="0"/>
                <w:numId w:val="11"/>
              </w:numPr>
              <w:spacing w:before="0" w:beforeAutospacing="0" w:after="0" w:afterAutospacing="0"/>
              <w:textAlignment w:val="baseline"/>
              <w:rPr>
                <w:sz w:val="22"/>
                <w:szCs w:val="22"/>
              </w:rPr>
            </w:pPr>
            <w:r>
              <w:rPr>
                <w:rStyle w:val="normaltextrun"/>
                <w:sz w:val="20"/>
                <w:szCs w:val="20"/>
                <w:lang w:val="en-GB"/>
              </w:rPr>
              <w:t>Mapping PQI 90/91/92/93/21/22/23/55/56/57/58 to CAPC priority class 1. FFS on other SL CAPC mapping criterion.</w:t>
            </w:r>
            <w:r>
              <w:rPr>
                <w:rStyle w:val="eop"/>
                <w:sz w:val="20"/>
                <w:szCs w:val="20"/>
              </w:rPr>
              <w:t> </w:t>
            </w:r>
          </w:p>
          <w:p w14:paraId="66B10819" w14:textId="77777777" w:rsidR="00DC1853" w:rsidRDefault="00DC1853" w:rsidP="00DC1853">
            <w:pPr>
              <w:pStyle w:val="paragraph"/>
              <w:numPr>
                <w:ilvl w:val="0"/>
                <w:numId w:val="11"/>
              </w:numPr>
              <w:spacing w:before="0" w:beforeAutospacing="0" w:after="0" w:afterAutospacing="0"/>
              <w:textAlignment w:val="baseline"/>
              <w:rPr>
                <w:sz w:val="22"/>
                <w:szCs w:val="22"/>
              </w:rPr>
            </w:pPr>
            <w:r>
              <w:rPr>
                <w:rStyle w:val="normaltextrun"/>
                <w:sz w:val="20"/>
                <w:szCs w:val="20"/>
                <w:lang w:val="en-GB"/>
              </w:rPr>
              <w:t>Mapping PQI 59/61 to CAPC priority class 3.</w:t>
            </w:r>
            <w:r>
              <w:rPr>
                <w:rStyle w:val="eop"/>
                <w:sz w:val="20"/>
                <w:szCs w:val="20"/>
              </w:rPr>
              <w:t> </w:t>
            </w:r>
          </w:p>
          <w:p w14:paraId="3090A710" w14:textId="77777777" w:rsidR="00DC1853" w:rsidRDefault="00DC1853" w:rsidP="00DC1853">
            <w:pPr>
              <w:pStyle w:val="paragraph"/>
              <w:numPr>
                <w:ilvl w:val="0"/>
                <w:numId w:val="11"/>
              </w:numPr>
              <w:spacing w:before="0" w:beforeAutospacing="0" w:after="0" w:afterAutospacing="0"/>
              <w:textAlignment w:val="baseline"/>
              <w:rPr>
                <w:sz w:val="22"/>
                <w:szCs w:val="22"/>
              </w:rPr>
            </w:pPr>
            <w:r>
              <w:rPr>
                <w:rStyle w:val="normaltextrun"/>
                <w:sz w:val="20"/>
                <w:szCs w:val="20"/>
                <w:lang w:val="en-GB"/>
              </w:rPr>
              <w:t>Mapping PQI 25 to CAPC priority class 2.</w:t>
            </w:r>
            <w:r>
              <w:rPr>
                <w:rStyle w:val="eop"/>
                <w:sz w:val="20"/>
                <w:szCs w:val="20"/>
              </w:rPr>
              <w:t> </w:t>
            </w:r>
          </w:p>
          <w:p w14:paraId="3865CD95" w14:textId="77777777" w:rsidR="00DC1853" w:rsidRDefault="00DC1853" w:rsidP="00DC1853">
            <w:pPr>
              <w:pStyle w:val="paragraph"/>
              <w:numPr>
                <w:ilvl w:val="0"/>
                <w:numId w:val="11"/>
              </w:numPr>
              <w:spacing w:before="0" w:beforeAutospacing="0" w:after="0" w:afterAutospacing="0"/>
              <w:textAlignment w:val="baseline"/>
              <w:rPr>
                <w:sz w:val="22"/>
                <w:szCs w:val="22"/>
              </w:rPr>
            </w:pPr>
            <w:r>
              <w:rPr>
                <w:rStyle w:val="normaltextrun"/>
                <w:sz w:val="20"/>
                <w:szCs w:val="20"/>
                <w:lang w:val="en-GB"/>
              </w:rPr>
              <w:t>Mapping PQI 24/26/60 to CAPC priority class 1</w:t>
            </w:r>
            <w:r>
              <w:rPr>
                <w:rStyle w:val="eop"/>
                <w:sz w:val="20"/>
                <w:szCs w:val="20"/>
              </w:rPr>
              <w:t> </w:t>
            </w:r>
          </w:p>
          <w:p w14:paraId="348C8C85" w14:textId="71FB6ACE" w:rsidR="00DC1853" w:rsidRDefault="007132B8" w:rsidP="00DC1853">
            <w:pPr>
              <w:pStyle w:val="paragraph"/>
              <w:numPr>
                <w:ilvl w:val="0"/>
                <w:numId w:val="11"/>
              </w:numPr>
              <w:spacing w:before="0" w:beforeAutospacing="0" w:after="0" w:afterAutospacing="0"/>
              <w:textAlignment w:val="baseline"/>
              <w:rPr>
                <w:sz w:val="22"/>
                <w:szCs w:val="22"/>
              </w:rPr>
            </w:pPr>
            <w:r w:rsidRPr="007132B8">
              <w:rPr>
                <w:rStyle w:val="normaltextrun"/>
                <w:sz w:val="20"/>
                <w:szCs w:val="20"/>
                <w:lang w:val="en-GB"/>
              </w:rPr>
              <w:t>If PQI-based CAPC mapping is agreed, as in NR-U, the lowest priority CAPC of the logical channel(s) with MAC SDU multiplexed in the TB is used regardless of whether the TB also contains SL MAC CEs in addition to MAC SDUs</w:t>
            </w:r>
            <w:r w:rsidR="00DC1853">
              <w:rPr>
                <w:rStyle w:val="normaltextrun"/>
                <w:sz w:val="20"/>
                <w:szCs w:val="20"/>
                <w:lang w:val="en-GB"/>
              </w:rPr>
              <w:t>.</w:t>
            </w:r>
            <w:r w:rsidR="00DC1853">
              <w:rPr>
                <w:rStyle w:val="eop"/>
                <w:sz w:val="20"/>
                <w:szCs w:val="20"/>
              </w:rPr>
              <w:t> </w:t>
            </w:r>
          </w:p>
          <w:p w14:paraId="0EF7976C" w14:textId="77777777" w:rsidR="00DC1853" w:rsidRDefault="00DC1853" w:rsidP="00DC1853">
            <w:pPr>
              <w:pStyle w:val="paragraph"/>
              <w:numPr>
                <w:ilvl w:val="0"/>
                <w:numId w:val="11"/>
              </w:numPr>
              <w:spacing w:before="0" w:beforeAutospacing="0" w:after="0" w:afterAutospacing="0"/>
              <w:textAlignment w:val="baseline"/>
              <w:rPr>
                <w:sz w:val="22"/>
                <w:szCs w:val="22"/>
              </w:rPr>
            </w:pPr>
            <w:r>
              <w:rPr>
                <w:rStyle w:val="normaltextrun"/>
                <w:sz w:val="20"/>
                <w:szCs w:val="20"/>
                <w:lang w:val="en-GB"/>
              </w:rPr>
              <w:t>Use the CAPC of the standardized PQI or the CAPC of non-standardized PQI configured in SIB/pre-configuration which best matches the QoS characteristics of the current non-standardized PQI based on one or more QoS characteristics</w:t>
            </w:r>
            <w:r>
              <w:rPr>
                <w:rStyle w:val="eop"/>
                <w:sz w:val="20"/>
                <w:szCs w:val="20"/>
              </w:rPr>
              <w:t> </w:t>
            </w:r>
          </w:p>
          <w:p w14:paraId="1819D6E3" w14:textId="77777777" w:rsidR="00931F16" w:rsidRDefault="00931F16" w:rsidP="00453C6B">
            <w:pPr>
              <w:pStyle w:val="paragraph"/>
              <w:spacing w:before="0" w:beforeAutospacing="0" w:after="0" w:afterAutospacing="0"/>
              <w:textAlignment w:val="baseline"/>
              <w:rPr>
                <w:rStyle w:val="normaltextrun"/>
                <w:sz w:val="20"/>
                <w:szCs w:val="20"/>
                <w:lang w:val="en-GB"/>
              </w:rPr>
            </w:pPr>
          </w:p>
        </w:tc>
      </w:tr>
    </w:tbl>
    <w:p w14:paraId="0FC9B7AD" w14:textId="77777777" w:rsidR="00931F16" w:rsidRDefault="00931F16" w:rsidP="00453C6B">
      <w:pPr>
        <w:pStyle w:val="paragraph"/>
        <w:spacing w:before="0" w:beforeAutospacing="0" w:after="0" w:afterAutospacing="0"/>
        <w:textAlignment w:val="baseline"/>
        <w:rPr>
          <w:rStyle w:val="normaltextrun"/>
          <w:sz w:val="20"/>
          <w:szCs w:val="20"/>
          <w:lang w:val="en-GB"/>
        </w:rPr>
      </w:pPr>
    </w:p>
    <w:p w14:paraId="4864EC6C" w14:textId="7F054C1D" w:rsidR="00D11810" w:rsidRDefault="002C7907" w:rsidP="00453C6B">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RAN 2 should confirm the working assumptions, even the</w:t>
      </w:r>
      <w:r w:rsidR="00E013D2">
        <w:rPr>
          <w:rStyle w:val="normaltextrun"/>
          <w:sz w:val="20"/>
          <w:szCs w:val="20"/>
          <w:lang w:val="en-GB"/>
        </w:rPr>
        <w:t xml:space="preserve"> mapping of</w:t>
      </w:r>
      <w:r>
        <w:rPr>
          <w:rStyle w:val="normaltextrun"/>
          <w:sz w:val="20"/>
          <w:szCs w:val="20"/>
          <w:lang w:val="en-GB"/>
        </w:rPr>
        <w:t xml:space="preserve"> </w:t>
      </w:r>
      <w:r w:rsidRPr="002C7907">
        <w:rPr>
          <w:rStyle w:val="normaltextrun"/>
          <w:sz w:val="20"/>
          <w:szCs w:val="20"/>
          <w:lang w:val="en-GB"/>
        </w:rPr>
        <w:t>PQI 24/26/60 to CAPC priority class 1</w:t>
      </w:r>
      <w:r>
        <w:rPr>
          <w:rStyle w:val="normaltextrun"/>
          <w:sz w:val="20"/>
          <w:szCs w:val="20"/>
          <w:lang w:val="en-GB"/>
        </w:rPr>
        <w:t xml:space="preserve"> </w:t>
      </w:r>
      <w:r w:rsidR="00EA785A">
        <w:rPr>
          <w:rStyle w:val="normaltextrun"/>
          <w:sz w:val="20"/>
          <w:szCs w:val="20"/>
          <w:lang w:val="en-GB"/>
        </w:rPr>
        <w:t xml:space="preserve">since although the </w:t>
      </w:r>
      <w:r>
        <w:rPr>
          <w:rStyle w:val="normaltextrun"/>
          <w:sz w:val="20"/>
          <w:szCs w:val="20"/>
          <w:lang w:val="en-GB"/>
        </w:rPr>
        <w:t>associated PDB is quite relaxed</w:t>
      </w:r>
      <w:r w:rsidR="00861FD0">
        <w:rPr>
          <w:rStyle w:val="normaltextrun"/>
          <w:sz w:val="20"/>
          <w:szCs w:val="20"/>
          <w:lang w:val="en-GB"/>
        </w:rPr>
        <w:t xml:space="preserve"> these PQIs </w:t>
      </w:r>
      <w:r w:rsidR="00EA785A">
        <w:rPr>
          <w:rStyle w:val="normaltextrun"/>
          <w:sz w:val="20"/>
          <w:szCs w:val="20"/>
          <w:lang w:val="en-GB"/>
        </w:rPr>
        <w:t xml:space="preserve">still </w:t>
      </w:r>
      <w:r w:rsidR="00861FD0">
        <w:rPr>
          <w:rStyle w:val="normaltextrun"/>
          <w:sz w:val="20"/>
          <w:szCs w:val="20"/>
          <w:lang w:val="en-GB"/>
        </w:rPr>
        <w:t>correspond to mission critical services.</w:t>
      </w:r>
    </w:p>
    <w:p w14:paraId="01946133" w14:textId="6332A9E3" w:rsidR="00861FD0" w:rsidRDefault="00861FD0" w:rsidP="00861FD0">
      <w:pPr>
        <w:spacing w:before="240" w:after="240"/>
        <w:jc w:val="both"/>
        <w:rPr>
          <w:b/>
          <w:lang w:val="en-US"/>
        </w:rPr>
      </w:pPr>
      <w:r w:rsidRPr="0C4DC73B">
        <w:rPr>
          <w:b/>
          <w:bCs/>
          <w:lang w:val="en-US"/>
        </w:rPr>
        <w:t xml:space="preserve">Proposal </w:t>
      </w:r>
      <w:r w:rsidRPr="5A708491">
        <w:rPr>
          <w:b/>
          <w:color w:val="2B579A"/>
          <w:lang w:val="en-US"/>
        </w:rPr>
        <w:fldChar w:fldCharType="begin"/>
      </w:r>
      <w:r w:rsidRPr="002137EB">
        <w:rPr>
          <w:b/>
          <w:lang w:val="en-US"/>
        </w:rPr>
        <w:instrText xml:space="preserve"> SEQ Proposal \* Arabic </w:instrText>
      </w:r>
      <w:r w:rsidRPr="5A708491">
        <w:rPr>
          <w:b/>
          <w:color w:val="2B579A"/>
          <w:lang w:val="en-US"/>
        </w:rPr>
        <w:fldChar w:fldCharType="separate"/>
      </w:r>
      <w:r>
        <w:rPr>
          <w:b/>
          <w:noProof/>
          <w:lang w:val="en-US"/>
        </w:rPr>
        <w:t>2</w:t>
      </w:r>
      <w:r w:rsidRPr="5A708491">
        <w:rPr>
          <w:b/>
          <w:color w:val="2B579A"/>
          <w:lang w:val="en-US"/>
        </w:rPr>
        <w:fldChar w:fldCharType="end"/>
      </w:r>
      <w:r w:rsidRPr="00375BCA">
        <w:rPr>
          <w:b/>
          <w:lang w:val="en-US"/>
        </w:rPr>
        <w:t xml:space="preserve">: RAN2 </w:t>
      </w:r>
      <w:r>
        <w:rPr>
          <w:b/>
          <w:lang w:val="en-US"/>
        </w:rPr>
        <w:t xml:space="preserve">to confirm working assumption for </w:t>
      </w:r>
      <w:r w:rsidR="00243C4C">
        <w:rPr>
          <w:b/>
          <w:lang w:val="en-US"/>
        </w:rPr>
        <w:t xml:space="preserve">the PQI to </w:t>
      </w:r>
      <w:r>
        <w:rPr>
          <w:b/>
          <w:lang w:val="en-US"/>
        </w:rPr>
        <w:t>CAPC</w:t>
      </w:r>
      <w:r w:rsidR="00243C4C">
        <w:rPr>
          <w:b/>
          <w:lang w:val="en-US"/>
        </w:rPr>
        <w:t xml:space="preserve"> mapping</w:t>
      </w:r>
      <w:r>
        <w:rPr>
          <w:b/>
          <w:lang w:val="en-US"/>
        </w:rPr>
        <w:t>.</w:t>
      </w:r>
      <w:r w:rsidRPr="00375BCA">
        <w:rPr>
          <w:b/>
          <w:lang w:val="en-US"/>
        </w:rPr>
        <w:t xml:space="preserve"> </w:t>
      </w:r>
    </w:p>
    <w:p w14:paraId="483D2E44" w14:textId="29EE4053" w:rsidR="009339CB" w:rsidRDefault="0076141E" w:rsidP="00CB4910">
      <w:pPr>
        <w:pStyle w:val="Heading1"/>
      </w:pPr>
      <w:r>
        <w:t>4</w:t>
      </w:r>
      <w:r w:rsidR="009339CB" w:rsidRPr="006E13D1">
        <w:tab/>
      </w:r>
      <w:r w:rsidR="009339CB">
        <w:t>Conclusion</w:t>
      </w:r>
    </w:p>
    <w:p w14:paraId="6E24B0F4" w14:textId="23040263" w:rsidR="009339CB" w:rsidRDefault="009339CB" w:rsidP="009339CB">
      <w:proofErr w:type="gramStart"/>
      <w:r>
        <w:t>This documents</w:t>
      </w:r>
      <w:proofErr w:type="gramEnd"/>
      <w:r>
        <w:t xml:space="preserve"> has made the following </w:t>
      </w:r>
      <w:r w:rsidR="00CB4910">
        <w:t>proposals</w:t>
      </w:r>
      <w:r>
        <w:t>:</w:t>
      </w:r>
    </w:p>
    <w:p w14:paraId="7831C453" w14:textId="0EAC0899" w:rsidR="002F04F8" w:rsidRDefault="002F04F8" w:rsidP="002F04F8">
      <w:pPr>
        <w:spacing w:after="240"/>
        <w:jc w:val="both"/>
        <w:rPr>
          <w:b/>
          <w:lang w:val="en-US"/>
        </w:rPr>
      </w:pPr>
      <w:r w:rsidRPr="0C4DC73B">
        <w:rPr>
          <w:b/>
          <w:bCs/>
          <w:lang w:val="en-US"/>
        </w:rPr>
        <w:t xml:space="preserve">Proposal </w:t>
      </w:r>
      <w:r w:rsidRPr="5A708491">
        <w:rPr>
          <w:b/>
          <w:color w:val="2B579A"/>
          <w:lang w:val="en-US"/>
        </w:rPr>
        <w:fldChar w:fldCharType="begin"/>
      </w:r>
      <w:r w:rsidRPr="002137EB">
        <w:rPr>
          <w:b/>
          <w:lang w:val="en-US"/>
        </w:rPr>
        <w:instrText xml:space="preserve"> SEQ Proposal \* Arabic </w:instrText>
      </w:r>
      <w:r w:rsidRPr="5A708491">
        <w:rPr>
          <w:b/>
          <w:color w:val="2B579A"/>
          <w:lang w:val="en-US"/>
        </w:rPr>
        <w:fldChar w:fldCharType="separate"/>
      </w:r>
      <w:r>
        <w:rPr>
          <w:b/>
          <w:noProof/>
          <w:lang w:val="en-US"/>
        </w:rPr>
        <w:t>1</w:t>
      </w:r>
      <w:r w:rsidRPr="5A708491">
        <w:rPr>
          <w:b/>
          <w:color w:val="2B579A"/>
          <w:lang w:val="en-US"/>
        </w:rPr>
        <w:fldChar w:fldCharType="end"/>
      </w:r>
      <w:r w:rsidRPr="00375BCA">
        <w:rPr>
          <w:b/>
          <w:lang w:val="en-US"/>
        </w:rPr>
        <w:t xml:space="preserve">: </w:t>
      </w:r>
      <w:r w:rsidR="00B85F63" w:rsidRPr="00375BCA">
        <w:rPr>
          <w:b/>
          <w:lang w:val="en-US"/>
        </w:rPr>
        <w:t xml:space="preserve">RAN2 </w:t>
      </w:r>
      <w:r w:rsidR="00B85F63">
        <w:rPr>
          <w:b/>
          <w:lang w:val="en-US"/>
        </w:rPr>
        <w:t>to deprioritize work on unlicensed operations specific DRX enhancements until at least the multiple PSFCH resources and shared COT conditions design in RAN1 has progressed, or other issues are found which may prolong the UE active time.</w:t>
      </w:r>
      <w:r w:rsidRPr="00375BCA">
        <w:rPr>
          <w:b/>
          <w:lang w:val="en-US"/>
        </w:rPr>
        <w:t xml:space="preserve"> </w:t>
      </w:r>
    </w:p>
    <w:p w14:paraId="05F109EF" w14:textId="77777777" w:rsidR="002F04F8" w:rsidRDefault="002F04F8" w:rsidP="002F04F8">
      <w:pPr>
        <w:spacing w:before="240" w:after="240"/>
        <w:jc w:val="both"/>
        <w:rPr>
          <w:b/>
          <w:lang w:val="en-US"/>
        </w:rPr>
      </w:pPr>
      <w:r w:rsidRPr="0C4DC73B">
        <w:rPr>
          <w:b/>
          <w:bCs/>
          <w:lang w:val="en-US"/>
        </w:rPr>
        <w:t xml:space="preserve">Proposal </w:t>
      </w:r>
      <w:r w:rsidRPr="5A708491">
        <w:rPr>
          <w:b/>
          <w:color w:val="2B579A"/>
          <w:lang w:val="en-US"/>
        </w:rPr>
        <w:fldChar w:fldCharType="begin"/>
      </w:r>
      <w:r w:rsidRPr="002137EB">
        <w:rPr>
          <w:b/>
          <w:lang w:val="en-US"/>
        </w:rPr>
        <w:instrText xml:space="preserve"> SEQ Proposal \* Arabic </w:instrText>
      </w:r>
      <w:r w:rsidRPr="5A708491">
        <w:rPr>
          <w:b/>
          <w:color w:val="2B579A"/>
          <w:lang w:val="en-US"/>
        </w:rPr>
        <w:fldChar w:fldCharType="separate"/>
      </w:r>
      <w:r>
        <w:rPr>
          <w:b/>
          <w:noProof/>
          <w:lang w:val="en-US"/>
        </w:rPr>
        <w:t>2</w:t>
      </w:r>
      <w:r w:rsidRPr="5A708491">
        <w:rPr>
          <w:b/>
          <w:color w:val="2B579A"/>
          <w:lang w:val="en-US"/>
        </w:rPr>
        <w:fldChar w:fldCharType="end"/>
      </w:r>
      <w:r w:rsidRPr="00375BCA">
        <w:rPr>
          <w:b/>
          <w:lang w:val="en-US"/>
        </w:rPr>
        <w:t xml:space="preserve">: RAN2 </w:t>
      </w:r>
      <w:r>
        <w:rPr>
          <w:b/>
          <w:lang w:val="en-US"/>
        </w:rPr>
        <w:t>to confirm working assumption for the PQI to CAPC mapping.</w:t>
      </w:r>
      <w:r w:rsidRPr="00375BCA">
        <w:rPr>
          <w:b/>
          <w:lang w:val="en-US"/>
        </w:rPr>
        <w:t xml:space="preserve"> </w:t>
      </w:r>
    </w:p>
    <w:p w14:paraId="7D21413B" w14:textId="77777777" w:rsidR="002F04F8" w:rsidRPr="006E13D1" w:rsidRDefault="002F04F8" w:rsidP="009339C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EC2EF" w14:textId="77777777" w:rsidR="00004823" w:rsidRDefault="00004823">
      <w:r>
        <w:separator/>
      </w:r>
    </w:p>
  </w:endnote>
  <w:endnote w:type="continuationSeparator" w:id="0">
    <w:p w14:paraId="002F36EA" w14:textId="77777777" w:rsidR="00004823" w:rsidRDefault="00004823">
      <w:r>
        <w:continuationSeparator/>
      </w:r>
    </w:p>
  </w:endnote>
  <w:endnote w:type="continuationNotice" w:id="1">
    <w:p w14:paraId="5CEB5BEF" w14:textId="77777777" w:rsidR="00004823" w:rsidRDefault="000048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2ADA3" w14:textId="77777777" w:rsidR="005A7196" w:rsidRDefault="005A7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A2313" w14:textId="77777777" w:rsidR="005A7196" w:rsidRDefault="005A7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C7A0" w14:textId="77777777" w:rsidR="005A7196" w:rsidRDefault="005A7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EEA41" w14:textId="77777777" w:rsidR="00004823" w:rsidRDefault="00004823">
      <w:r>
        <w:separator/>
      </w:r>
    </w:p>
  </w:footnote>
  <w:footnote w:type="continuationSeparator" w:id="0">
    <w:p w14:paraId="712A1693" w14:textId="77777777" w:rsidR="00004823" w:rsidRDefault="00004823">
      <w:r>
        <w:continuationSeparator/>
      </w:r>
    </w:p>
  </w:footnote>
  <w:footnote w:type="continuationNotice" w:id="1">
    <w:p w14:paraId="7F48079A" w14:textId="77777777" w:rsidR="00004823" w:rsidRDefault="000048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BD388" w14:textId="77777777" w:rsidR="005A7196" w:rsidRDefault="005A71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9498" w14:textId="77777777" w:rsidR="005A7196" w:rsidRDefault="005A7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E5C0" w14:textId="77777777" w:rsidR="005A7196" w:rsidRDefault="005A71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E477691"/>
    <w:multiLevelType w:val="hybridMultilevel"/>
    <w:tmpl w:val="FFFFFFFF"/>
    <w:lvl w:ilvl="0" w:tplc="0D32B632">
      <w:start w:val="1"/>
      <w:numFmt w:val="bullet"/>
      <w:lvlText w:val=""/>
      <w:lvlJc w:val="left"/>
      <w:pPr>
        <w:ind w:left="720" w:hanging="360"/>
      </w:pPr>
      <w:rPr>
        <w:rFonts w:ascii="Symbol" w:hAnsi="Symbol" w:hint="default"/>
      </w:rPr>
    </w:lvl>
    <w:lvl w:ilvl="1" w:tplc="237A51C8">
      <w:start w:val="1"/>
      <w:numFmt w:val="bullet"/>
      <w:lvlText w:val="o"/>
      <w:lvlJc w:val="left"/>
      <w:pPr>
        <w:ind w:left="1440" w:hanging="360"/>
      </w:pPr>
      <w:rPr>
        <w:rFonts w:ascii="Courier New" w:hAnsi="Courier New" w:hint="default"/>
      </w:rPr>
    </w:lvl>
    <w:lvl w:ilvl="2" w:tplc="CBF89EF2">
      <w:start w:val="1"/>
      <w:numFmt w:val="bullet"/>
      <w:lvlText w:val=""/>
      <w:lvlJc w:val="left"/>
      <w:pPr>
        <w:ind w:left="2160" w:hanging="360"/>
      </w:pPr>
      <w:rPr>
        <w:rFonts w:ascii="Wingdings" w:hAnsi="Wingdings" w:hint="default"/>
      </w:rPr>
    </w:lvl>
    <w:lvl w:ilvl="3" w:tplc="19509C6E">
      <w:start w:val="1"/>
      <w:numFmt w:val="bullet"/>
      <w:lvlText w:val=""/>
      <w:lvlJc w:val="left"/>
      <w:pPr>
        <w:ind w:left="2880" w:hanging="360"/>
      </w:pPr>
      <w:rPr>
        <w:rFonts w:ascii="Symbol" w:hAnsi="Symbol" w:hint="default"/>
      </w:rPr>
    </w:lvl>
    <w:lvl w:ilvl="4" w:tplc="B5B68E32">
      <w:start w:val="1"/>
      <w:numFmt w:val="bullet"/>
      <w:lvlText w:val="o"/>
      <w:lvlJc w:val="left"/>
      <w:pPr>
        <w:ind w:left="3600" w:hanging="360"/>
      </w:pPr>
      <w:rPr>
        <w:rFonts w:ascii="Courier New" w:hAnsi="Courier New" w:hint="default"/>
      </w:rPr>
    </w:lvl>
    <w:lvl w:ilvl="5" w:tplc="BB66B162">
      <w:start w:val="1"/>
      <w:numFmt w:val="bullet"/>
      <w:lvlText w:val=""/>
      <w:lvlJc w:val="left"/>
      <w:pPr>
        <w:ind w:left="4320" w:hanging="360"/>
      </w:pPr>
      <w:rPr>
        <w:rFonts w:ascii="Wingdings" w:hAnsi="Wingdings" w:hint="default"/>
      </w:rPr>
    </w:lvl>
    <w:lvl w:ilvl="6" w:tplc="994C5DE8">
      <w:start w:val="1"/>
      <w:numFmt w:val="bullet"/>
      <w:lvlText w:val=""/>
      <w:lvlJc w:val="left"/>
      <w:pPr>
        <w:ind w:left="5040" w:hanging="360"/>
      </w:pPr>
      <w:rPr>
        <w:rFonts w:ascii="Symbol" w:hAnsi="Symbol" w:hint="default"/>
      </w:rPr>
    </w:lvl>
    <w:lvl w:ilvl="7" w:tplc="08DC4126">
      <w:start w:val="1"/>
      <w:numFmt w:val="bullet"/>
      <w:lvlText w:val="o"/>
      <w:lvlJc w:val="left"/>
      <w:pPr>
        <w:ind w:left="5760" w:hanging="360"/>
      </w:pPr>
      <w:rPr>
        <w:rFonts w:ascii="Courier New" w:hAnsi="Courier New" w:hint="default"/>
      </w:rPr>
    </w:lvl>
    <w:lvl w:ilvl="8" w:tplc="E4226D5C">
      <w:start w:val="1"/>
      <w:numFmt w:val="bullet"/>
      <w:lvlText w:val=""/>
      <w:lvlJc w:val="left"/>
      <w:pPr>
        <w:ind w:left="6480" w:hanging="360"/>
      </w:pPr>
      <w:rPr>
        <w:rFonts w:ascii="Wingdings" w:hAnsi="Wingdings" w:hint="default"/>
      </w:rPr>
    </w:lvl>
  </w:abstractNum>
  <w:abstractNum w:abstractNumId="7" w15:restartNumberingAfterBreak="0">
    <w:nsid w:val="554B5BC5"/>
    <w:multiLevelType w:val="hybridMultilevel"/>
    <w:tmpl w:val="A708845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07F2BC7"/>
    <w:multiLevelType w:val="multilevel"/>
    <w:tmpl w:val="5240C7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797961E5"/>
    <w:multiLevelType w:val="multilevel"/>
    <w:tmpl w:val="93327F76"/>
    <w:lvl w:ilvl="0">
      <w:start w:val="1"/>
      <w:numFmt w:val="bullet"/>
      <w:lvlText w:val=""/>
      <w:lvlJc w:val="left"/>
      <w:pPr>
        <w:tabs>
          <w:tab w:val="num" w:pos="416"/>
        </w:tabs>
        <w:ind w:left="416" w:hanging="360"/>
      </w:pPr>
      <w:rPr>
        <w:rFonts w:ascii="Wingdings" w:hAnsi="Wingdings" w:hint="default"/>
        <w:sz w:val="20"/>
      </w:rPr>
    </w:lvl>
    <w:lvl w:ilvl="1" w:tentative="1">
      <w:start w:val="1"/>
      <w:numFmt w:val="bullet"/>
      <w:lvlText w:val=""/>
      <w:lvlJc w:val="left"/>
      <w:pPr>
        <w:tabs>
          <w:tab w:val="num" w:pos="1136"/>
        </w:tabs>
        <w:ind w:left="1136" w:hanging="360"/>
      </w:pPr>
      <w:rPr>
        <w:rFonts w:ascii="Wingdings" w:hAnsi="Wingdings" w:hint="default"/>
        <w:sz w:val="20"/>
      </w:rPr>
    </w:lvl>
    <w:lvl w:ilvl="2" w:tentative="1">
      <w:start w:val="1"/>
      <w:numFmt w:val="bullet"/>
      <w:lvlText w:val=""/>
      <w:lvlJc w:val="left"/>
      <w:pPr>
        <w:tabs>
          <w:tab w:val="num" w:pos="1856"/>
        </w:tabs>
        <w:ind w:left="1856" w:hanging="360"/>
      </w:pPr>
      <w:rPr>
        <w:rFonts w:ascii="Wingdings" w:hAnsi="Wingdings" w:hint="default"/>
        <w:sz w:val="20"/>
      </w:rPr>
    </w:lvl>
    <w:lvl w:ilvl="3" w:tentative="1">
      <w:start w:val="1"/>
      <w:numFmt w:val="bullet"/>
      <w:lvlText w:val=""/>
      <w:lvlJc w:val="left"/>
      <w:pPr>
        <w:tabs>
          <w:tab w:val="num" w:pos="2576"/>
        </w:tabs>
        <w:ind w:left="2576" w:hanging="360"/>
      </w:pPr>
      <w:rPr>
        <w:rFonts w:ascii="Wingdings" w:hAnsi="Wingdings" w:hint="default"/>
        <w:sz w:val="20"/>
      </w:rPr>
    </w:lvl>
    <w:lvl w:ilvl="4" w:tentative="1">
      <w:start w:val="1"/>
      <w:numFmt w:val="bullet"/>
      <w:lvlText w:val=""/>
      <w:lvlJc w:val="left"/>
      <w:pPr>
        <w:tabs>
          <w:tab w:val="num" w:pos="3296"/>
        </w:tabs>
        <w:ind w:left="3296" w:hanging="360"/>
      </w:pPr>
      <w:rPr>
        <w:rFonts w:ascii="Wingdings" w:hAnsi="Wingdings" w:hint="default"/>
        <w:sz w:val="20"/>
      </w:rPr>
    </w:lvl>
    <w:lvl w:ilvl="5" w:tentative="1">
      <w:start w:val="1"/>
      <w:numFmt w:val="bullet"/>
      <w:lvlText w:val=""/>
      <w:lvlJc w:val="left"/>
      <w:pPr>
        <w:tabs>
          <w:tab w:val="num" w:pos="4016"/>
        </w:tabs>
        <w:ind w:left="4016" w:hanging="360"/>
      </w:pPr>
      <w:rPr>
        <w:rFonts w:ascii="Wingdings" w:hAnsi="Wingdings" w:hint="default"/>
        <w:sz w:val="20"/>
      </w:rPr>
    </w:lvl>
    <w:lvl w:ilvl="6" w:tentative="1">
      <w:start w:val="1"/>
      <w:numFmt w:val="bullet"/>
      <w:lvlText w:val=""/>
      <w:lvlJc w:val="left"/>
      <w:pPr>
        <w:tabs>
          <w:tab w:val="num" w:pos="4736"/>
        </w:tabs>
        <w:ind w:left="4736" w:hanging="360"/>
      </w:pPr>
      <w:rPr>
        <w:rFonts w:ascii="Wingdings" w:hAnsi="Wingdings" w:hint="default"/>
        <w:sz w:val="20"/>
      </w:rPr>
    </w:lvl>
    <w:lvl w:ilvl="7" w:tentative="1">
      <w:start w:val="1"/>
      <w:numFmt w:val="bullet"/>
      <w:lvlText w:val=""/>
      <w:lvlJc w:val="left"/>
      <w:pPr>
        <w:tabs>
          <w:tab w:val="num" w:pos="5456"/>
        </w:tabs>
        <w:ind w:left="5456" w:hanging="360"/>
      </w:pPr>
      <w:rPr>
        <w:rFonts w:ascii="Wingdings" w:hAnsi="Wingdings" w:hint="default"/>
        <w:sz w:val="20"/>
      </w:rPr>
    </w:lvl>
    <w:lvl w:ilvl="8" w:tentative="1">
      <w:start w:val="1"/>
      <w:numFmt w:val="bullet"/>
      <w:lvlText w:val=""/>
      <w:lvlJc w:val="left"/>
      <w:pPr>
        <w:tabs>
          <w:tab w:val="num" w:pos="6176"/>
        </w:tabs>
        <w:ind w:left="6176"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8"/>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50"/>
    <w:rsid w:val="00004823"/>
    <w:rsid w:val="00006C10"/>
    <w:rsid w:val="00007E59"/>
    <w:rsid w:val="00016557"/>
    <w:rsid w:val="00023C40"/>
    <w:rsid w:val="000316D3"/>
    <w:rsid w:val="00033397"/>
    <w:rsid w:val="00040095"/>
    <w:rsid w:val="00061E4C"/>
    <w:rsid w:val="00065268"/>
    <w:rsid w:val="00073C9C"/>
    <w:rsid w:val="00076412"/>
    <w:rsid w:val="00080512"/>
    <w:rsid w:val="00090468"/>
    <w:rsid w:val="000924EF"/>
    <w:rsid w:val="00094568"/>
    <w:rsid w:val="000B7BCF"/>
    <w:rsid w:val="000C0D10"/>
    <w:rsid w:val="000C522B"/>
    <w:rsid w:val="000D58AB"/>
    <w:rsid w:val="000F51B0"/>
    <w:rsid w:val="00107B82"/>
    <w:rsid w:val="00112F1A"/>
    <w:rsid w:val="001410BD"/>
    <w:rsid w:val="00145075"/>
    <w:rsid w:val="001741A0"/>
    <w:rsid w:val="00175FA0"/>
    <w:rsid w:val="00194CD0"/>
    <w:rsid w:val="001B49C9"/>
    <w:rsid w:val="001C23F4"/>
    <w:rsid w:val="001C4F79"/>
    <w:rsid w:val="001C7FD7"/>
    <w:rsid w:val="001E63B5"/>
    <w:rsid w:val="001F168B"/>
    <w:rsid w:val="001F7831"/>
    <w:rsid w:val="00204045"/>
    <w:rsid w:val="0020712B"/>
    <w:rsid w:val="0022606D"/>
    <w:rsid w:val="00231728"/>
    <w:rsid w:val="00243C4C"/>
    <w:rsid w:val="00244A05"/>
    <w:rsid w:val="00250404"/>
    <w:rsid w:val="002543B2"/>
    <w:rsid w:val="00256B74"/>
    <w:rsid w:val="002610D8"/>
    <w:rsid w:val="002747EC"/>
    <w:rsid w:val="00280C96"/>
    <w:rsid w:val="002855BF"/>
    <w:rsid w:val="002B2988"/>
    <w:rsid w:val="002C7907"/>
    <w:rsid w:val="002F04F8"/>
    <w:rsid w:val="002F0D22"/>
    <w:rsid w:val="00311B17"/>
    <w:rsid w:val="003172DC"/>
    <w:rsid w:val="00325AE3"/>
    <w:rsid w:val="00326069"/>
    <w:rsid w:val="0035462D"/>
    <w:rsid w:val="003617D0"/>
    <w:rsid w:val="0036459E"/>
    <w:rsid w:val="00364B41"/>
    <w:rsid w:val="00383096"/>
    <w:rsid w:val="0039346C"/>
    <w:rsid w:val="003A41EF"/>
    <w:rsid w:val="003B40AD"/>
    <w:rsid w:val="003C4E37"/>
    <w:rsid w:val="003E16BE"/>
    <w:rsid w:val="003E6B35"/>
    <w:rsid w:val="003F4E28"/>
    <w:rsid w:val="004006E8"/>
    <w:rsid w:val="00401855"/>
    <w:rsid w:val="00411A30"/>
    <w:rsid w:val="0041224D"/>
    <w:rsid w:val="004209EB"/>
    <w:rsid w:val="00431C0A"/>
    <w:rsid w:val="00435CEA"/>
    <w:rsid w:val="004409CD"/>
    <w:rsid w:val="00446C3A"/>
    <w:rsid w:val="00453C6B"/>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95A2A"/>
    <w:rsid w:val="005A13AB"/>
    <w:rsid w:val="005A49C6"/>
    <w:rsid w:val="005A7196"/>
    <w:rsid w:val="005B1D9F"/>
    <w:rsid w:val="005C766E"/>
    <w:rsid w:val="005C7CD5"/>
    <w:rsid w:val="005D11BB"/>
    <w:rsid w:val="005F6844"/>
    <w:rsid w:val="00607750"/>
    <w:rsid w:val="00611566"/>
    <w:rsid w:val="00620478"/>
    <w:rsid w:val="006351D7"/>
    <w:rsid w:val="00646D99"/>
    <w:rsid w:val="00656910"/>
    <w:rsid w:val="006574C0"/>
    <w:rsid w:val="00663C2C"/>
    <w:rsid w:val="00693A47"/>
    <w:rsid w:val="00696821"/>
    <w:rsid w:val="006A1AEE"/>
    <w:rsid w:val="006C66D8"/>
    <w:rsid w:val="006D1E24"/>
    <w:rsid w:val="006D35DE"/>
    <w:rsid w:val="006D7DAE"/>
    <w:rsid w:val="006E1057"/>
    <w:rsid w:val="006E1417"/>
    <w:rsid w:val="006F09E4"/>
    <w:rsid w:val="006F6A2C"/>
    <w:rsid w:val="006F7A1F"/>
    <w:rsid w:val="007069DC"/>
    <w:rsid w:val="00710201"/>
    <w:rsid w:val="007132B8"/>
    <w:rsid w:val="0072073A"/>
    <w:rsid w:val="007342B5"/>
    <w:rsid w:val="00734A5B"/>
    <w:rsid w:val="00744E76"/>
    <w:rsid w:val="00750173"/>
    <w:rsid w:val="00757D40"/>
    <w:rsid w:val="0076141E"/>
    <w:rsid w:val="007662B5"/>
    <w:rsid w:val="00781F0F"/>
    <w:rsid w:val="0078727C"/>
    <w:rsid w:val="0079049D"/>
    <w:rsid w:val="00793DC5"/>
    <w:rsid w:val="00796823"/>
    <w:rsid w:val="007A2E55"/>
    <w:rsid w:val="007B18D8"/>
    <w:rsid w:val="007C095F"/>
    <w:rsid w:val="007C2DD0"/>
    <w:rsid w:val="007D28BF"/>
    <w:rsid w:val="007F2E08"/>
    <w:rsid w:val="008024FA"/>
    <w:rsid w:val="008028A4"/>
    <w:rsid w:val="00813245"/>
    <w:rsid w:val="00825E1E"/>
    <w:rsid w:val="00840DE0"/>
    <w:rsid w:val="00847CD0"/>
    <w:rsid w:val="00854CDE"/>
    <w:rsid w:val="0086002D"/>
    <w:rsid w:val="008607A8"/>
    <w:rsid w:val="00861FD0"/>
    <w:rsid w:val="0086354A"/>
    <w:rsid w:val="008768CA"/>
    <w:rsid w:val="00877EF9"/>
    <w:rsid w:val="00880559"/>
    <w:rsid w:val="008B5306"/>
    <w:rsid w:val="008B54E8"/>
    <w:rsid w:val="008C2E2A"/>
    <w:rsid w:val="008C3057"/>
    <w:rsid w:val="008D2E4D"/>
    <w:rsid w:val="008F396F"/>
    <w:rsid w:val="008F3DCD"/>
    <w:rsid w:val="0090271F"/>
    <w:rsid w:val="00902DB9"/>
    <w:rsid w:val="00903924"/>
    <w:rsid w:val="0090466A"/>
    <w:rsid w:val="00923655"/>
    <w:rsid w:val="00931F1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C2EAB"/>
    <w:rsid w:val="009D74A6"/>
    <w:rsid w:val="009E0E87"/>
    <w:rsid w:val="00A10F02"/>
    <w:rsid w:val="00A12D2F"/>
    <w:rsid w:val="00A17176"/>
    <w:rsid w:val="00A204CA"/>
    <w:rsid w:val="00A209D6"/>
    <w:rsid w:val="00A22738"/>
    <w:rsid w:val="00A33797"/>
    <w:rsid w:val="00A33A24"/>
    <w:rsid w:val="00A36F5F"/>
    <w:rsid w:val="00A430EC"/>
    <w:rsid w:val="00A53724"/>
    <w:rsid w:val="00A54B2B"/>
    <w:rsid w:val="00A703B6"/>
    <w:rsid w:val="00A814AC"/>
    <w:rsid w:val="00A82346"/>
    <w:rsid w:val="00A9671C"/>
    <w:rsid w:val="00AA1553"/>
    <w:rsid w:val="00AA36E1"/>
    <w:rsid w:val="00AC42A5"/>
    <w:rsid w:val="00AE457F"/>
    <w:rsid w:val="00B05380"/>
    <w:rsid w:val="00B05962"/>
    <w:rsid w:val="00B15449"/>
    <w:rsid w:val="00B16C2F"/>
    <w:rsid w:val="00B27303"/>
    <w:rsid w:val="00B47FD1"/>
    <w:rsid w:val="00B516BB"/>
    <w:rsid w:val="00B7538C"/>
    <w:rsid w:val="00B84DB2"/>
    <w:rsid w:val="00B85F63"/>
    <w:rsid w:val="00BB3466"/>
    <w:rsid w:val="00BC3555"/>
    <w:rsid w:val="00BF41EE"/>
    <w:rsid w:val="00C12B51"/>
    <w:rsid w:val="00C24650"/>
    <w:rsid w:val="00C25465"/>
    <w:rsid w:val="00C33079"/>
    <w:rsid w:val="00C37F74"/>
    <w:rsid w:val="00C55A12"/>
    <w:rsid w:val="00C6553E"/>
    <w:rsid w:val="00C819A8"/>
    <w:rsid w:val="00C83A13"/>
    <w:rsid w:val="00C86F10"/>
    <w:rsid w:val="00C9068C"/>
    <w:rsid w:val="00C92967"/>
    <w:rsid w:val="00CA3D0C"/>
    <w:rsid w:val="00CA654B"/>
    <w:rsid w:val="00CB4910"/>
    <w:rsid w:val="00CB72B8"/>
    <w:rsid w:val="00CD0BA8"/>
    <w:rsid w:val="00CD4C7B"/>
    <w:rsid w:val="00CD58FE"/>
    <w:rsid w:val="00D11810"/>
    <w:rsid w:val="00D33BE3"/>
    <w:rsid w:val="00D3792D"/>
    <w:rsid w:val="00D54820"/>
    <w:rsid w:val="00D55E47"/>
    <w:rsid w:val="00D62E19"/>
    <w:rsid w:val="00D62FA1"/>
    <w:rsid w:val="00D67CD1"/>
    <w:rsid w:val="00D738D6"/>
    <w:rsid w:val="00D80795"/>
    <w:rsid w:val="00D854BE"/>
    <w:rsid w:val="00D87E00"/>
    <w:rsid w:val="00D9134D"/>
    <w:rsid w:val="00D96D11"/>
    <w:rsid w:val="00DA7A03"/>
    <w:rsid w:val="00DB0DB8"/>
    <w:rsid w:val="00DB1818"/>
    <w:rsid w:val="00DC1853"/>
    <w:rsid w:val="00DC309B"/>
    <w:rsid w:val="00DC4DA2"/>
    <w:rsid w:val="00DC5261"/>
    <w:rsid w:val="00DE25D2"/>
    <w:rsid w:val="00DF7C20"/>
    <w:rsid w:val="00E013D2"/>
    <w:rsid w:val="00E038FB"/>
    <w:rsid w:val="00E46C08"/>
    <w:rsid w:val="00E471CF"/>
    <w:rsid w:val="00E62835"/>
    <w:rsid w:val="00E6287B"/>
    <w:rsid w:val="00E76143"/>
    <w:rsid w:val="00E77645"/>
    <w:rsid w:val="00E83697"/>
    <w:rsid w:val="00E859B6"/>
    <w:rsid w:val="00EA66C9"/>
    <w:rsid w:val="00EA785A"/>
    <w:rsid w:val="00EB5D32"/>
    <w:rsid w:val="00EC4A25"/>
    <w:rsid w:val="00ED7644"/>
    <w:rsid w:val="00EF612C"/>
    <w:rsid w:val="00F025A2"/>
    <w:rsid w:val="00F036E9"/>
    <w:rsid w:val="00F07388"/>
    <w:rsid w:val="00F10F41"/>
    <w:rsid w:val="00F1603B"/>
    <w:rsid w:val="00F2026E"/>
    <w:rsid w:val="00F2210A"/>
    <w:rsid w:val="00F23AA3"/>
    <w:rsid w:val="00F31372"/>
    <w:rsid w:val="00F37743"/>
    <w:rsid w:val="00F517DE"/>
    <w:rsid w:val="00F54A3D"/>
    <w:rsid w:val="00F54CB0"/>
    <w:rsid w:val="00F579CD"/>
    <w:rsid w:val="00F653B8"/>
    <w:rsid w:val="00F71B89"/>
    <w:rsid w:val="00F7353C"/>
    <w:rsid w:val="00F76F8F"/>
    <w:rsid w:val="00F87257"/>
    <w:rsid w:val="00F941DF"/>
    <w:rsid w:val="00FA1266"/>
    <w:rsid w:val="00FB36FA"/>
    <w:rsid w:val="00FC1192"/>
    <w:rsid w:val="00FE106D"/>
    <w:rsid w:val="00FE251B"/>
    <w:rsid w:val="00FF1963"/>
    <w:rsid w:val="2EA1C2AE"/>
    <w:rsid w:val="3E22A2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990577-7764-4DA8-9727-4A6A3C0CC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F04F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Comments">
    <w:name w:val="Comments"/>
    <w:basedOn w:val="Normal"/>
    <w:link w:val="CommentsChar"/>
    <w:qFormat/>
    <w:rsid w:val="00E7614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E76143"/>
    <w:rPr>
      <w:rFonts w:ascii="Arial" w:eastAsia="MS Mincho" w:hAnsi="Arial"/>
      <w:i/>
      <w:noProof/>
      <w:sz w:val="18"/>
      <w:szCs w:val="24"/>
    </w:rPr>
  </w:style>
  <w:style w:type="table" w:styleId="TableGrid">
    <w:name w:val="Table Grid"/>
    <w:aliases w:val="TableGrid"/>
    <w:basedOn w:val="TableNormal"/>
    <w:uiPriority w:val="59"/>
    <w:qFormat/>
    <w:rsid w:val="000C0D10"/>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C0D10"/>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0C0D10"/>
    <w:rPr>
      <w:rFonts w:eastAsia="SimSun"/>
      <w:lang w:eastAsia="en-US"/>
    </w:rPr>
  </w:style>
  <w:style w:type="paragraph" w:customStyle="1" w:styleId="paragraph">
    <w:name w:val="paragraph"/>
    <w:basedOn w:val="Normal"/>
    <w:rsid w:val="00453C6B"/>
    <w:pPr>
      <w:spacing w:before="100" w:beforeAutospacing="1" w:after="100" w:afterAutospacing="1"/>
    </w:pPr>
    <w:rPr>
      <w:sz w:val="24"/>
      <w:szCs w:val="24"/>
      <w:lang w:val="en-US"/>
    </w:rPr>
  </w:style>
  <w:style w:type="character" w:customStyle="1" w:styleId="normaltextrun">
    <w:name w:val="normaltextrun"/>
    <w:basedOn w:val="DefaultParagraphFont"/>
    <w:rsid w:val="00453C6B"/>
  </w:style>
  <w:style w:type="character" w:customStyle="1" w:styleId="eop">
    <w:name w:val="eop"/>
    <w:basedOn w:val="DefaultParagraphFont"/>
    <w:rsid w:val="00453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1193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7947291">
      <w:bodyDiv w:val="1"/>
      <w:marLeft w:val="0"/>
      <w:marRight w:val="0"/>
      <w:marTop w:val="0"/>
      <w:marBottom w:val="0"/>
      <w:divBdr>
        <w:top w:val="none" w:sz="0" w:space="0" w:color="auto"/>
        <w:left w:val="none" w:sz="0" w:space="0" w:color="auto"/>
        <w:bottom w:val="none" w:sz="0" w:space="0" w:color="auto"/>
        <w:right w:val="none" w:sz="0" w:space="0" w:color="auto"/>
      </w:divBdr>
      <w:divsChild>
        <w:div w:id="225651524">
          <w:marLeft w:val="0"/>
          <w:marRight w:val="0"/>
          <w:marTop w:val="0"/>
          <w:marBottom w:val="0"/>
          <w:divBdr>
            <w:top w:val="none" w:sz="0" w:space="0" w:color="auto"/>
            <w:left w:val="none" w:sz="0" w:space="0" w:color="auto"/>
            <w:bottom w:val="none" w:sz="0" w:space="0" w:color="auto"/>
            <w:right w:val="none" w:sz="0" w:space="0" w:color="auto"/>
          </w:divBdr>
        </w:div>
        <w:div w:id="874464997">
          <w:marLeft w:val="0"/>
          <w:marRight w:val="0"/>
          <w:marTop w:val="0"/>
          <w:marBottom w:val="0"/>
          <w:divBdr>
            <w:top w:val="none" w:sz="0" w:space="0" w:color="auto"/>
            <w:left w:val="none" w:sz="0" w:space="0" w:color="auto"/>
            <w:bottom w:val="none" w:sz="0" w:space="0" w:color="auto"/>
            <w:right w:val="none" w:sz="0" w:space="0" w:color="auto"/>
          </w:divBdr>
        </w:div>
        <w:div w:id="1235503625">
          <w:marLeft w:val="0"/>
          <w:marRight w:val="0"/>
          <w:marTop w:val="0"/>
          <w:marBottom w:val="0"/>
          <w:divBdr>
            <w:top w:val="none" w:sz="0" w:space="0" w:color="auto"/>
            <w:left w:val="none" w:sz="0" w:space="0" w:color="auto"/>
            <w:bottom w:val="none" w:sz="0" w:space="0" w:color="auto"/>
            <w:right w:val="none" w:sz="0" w:space="0" w:color="auto"/>
          </w:divBdr>
          <w:divsChild>
            <w:div w:id="671566708">
              <w:marLeft w:val="0"/>
              <w:marRight w:val="0"/>
              <w:marTop w:val="0"/>
              <w:marBottom w:val="0"/>
              <w:divBdr>
                <w:top w:val="none" w:sz="0" w:space="0" w:color="auto"/>
                <w:left w:val="none" w:sz="0" w:space="0" w:color="auto"/>
                <w:bottom w:val="none" w:sz="0" w:space="0" w:color="auto"/>
                <w:right w:val="none" w:sz="0" w:space="0" w:color="auto"/>
              </w:divBdr>
            </w:div>
            <w:div w:id="1903445684">
              <w:marLeft w:val="0"/>
              <w:marRight w:val="0"/>
              <w:marTop w:val="0"/>
              <w:marBottom w:val="0"/>
              <w:divBdr>
                <w:top w:val="none" w:sz="0" w:space="0" w:color="auto"/>
                <w:left w:val="none" w:sz="0" w:space="0" w:color="auto"/>
                <w:bottom w:val="none" w:sz="0" w:space="0" w:color="auto"/>
                <w:right w:val="none" w:sz="0" w:space="0" w:color="auto"/>
              </w:divBdr>
            </w:div>
          </w:divsChild>
        </w:div>
        <w:div w:id="1367175452">
          <w:marLeft w:val="0"/>
          <w:marRight w:val="0"/>
          <w:marTop w:val="0"/>
          <w:marBottom w:val="0"/>
          <w:divBdr>
            <w:top w:val="none" w:sz="0" w:space="0" w:color="auto"/>
            <w:left w:val="none" w:sz="0" w:space="0" w:color="auto"/>
            <w:bottom w:val="none" w:sz="0" w:space="0" w:color="auto"/>
            <w:right w:val="none" w:sz="0" w:space="0" w:color="auto"/>
          </w:divBdr>
        </w:div>
        <w:div w:id="1518731632">
          <w:marLeft w:val="0"/>
          <w:marRight w:val="0"/>
          <w:marTop w:val="0"/>
          <w:marBottom w:val="0"/>
          <w:divBdr>
            <w:top w:val="none" w:sz="0" w:space="0" w:color="auto"/>
            <w:left w:val="none" w:sz="0" w:space="0" w:color="auto"/>
            <w:bottom w:val="none" w:sz="0" w:space="0" w:color="auto"/>
            <w:right w:val="none" w:sz="0" w:space="0" w:color="auto"/>
          </w:divBdr>
        </w:div>
        <w:div w:id="1724215173">
          <w:marLeft w:val="0"/>
          <w:marRight w:val="0"/>
          <w:marTop w:val="0"/>
          <w:marBottom w:val="0"/>
          <w:divBdr>
            <w:top w:val="none" w:sz="0" w:space="0" w:color="auto"/>
            <w:left w:val="none" w:sz="0" w:space="0" w:color="auto"/>
            <w:bottom w:val="none" w:sz="0" w:space="0" w:color="auto"/>
            <w:right w:val="none" w:sz="0" w:space="0" w:color="auto"/>
          </w:divBdr>
        </w:div>
        <w:div w:id="1771779645">
          <w:marLeft w:val="0"/>
          <w:marRight w:val="0"/>
          <w:marTop w:val="0"/>
          <w:marBottom w:val="0"/>
          <w:divBdr>
            <w:top w:val="none" w:sz="0" w:space="0" w:color="auto"/>
            <w:left w:val="none" w:sz="0" w:space="0" w:color="auto"/>
            <w:bottom w:val="none" w:sz="0" w:space="0" w:color="auto"/>
            <w:right w:val="none" w:sz="0" w:space="0" w:color="auto"/>
          </w:divBdr>
        </w:div>
        <w:div w:id="1860586207">
          <w:marLeft w:val="0"/>
          <w:marRight w:val="0"/>
          <w:marTop w:val="0"/>
          <w:marBottom w:val="0"/>
          <w:divBdr>
            <w:top w:val="none" w:sz="0" w:space="0" w:color="auto"/>
            <w:left w:val="none" w:sz="0" w:space="0" w:color="auto"/>
            <w:bottom w:val="none" w:sz="0" w:space="0" w:color="auto"/>
            <w:right w:val="none" w:sz="0" w:space="0" w:color="auto"/>
          </w:divBdr>
        </w:div>
        <w:div w:id="1901092600">
          <w:marLeft w:val="0"/>
          <w:marRight w:val="0"/>
          <w:marTop w:val="0"/>
          <w:marBottom w:val="0"/>
          <w:divBdr>
            <w:top w:val="none" w:sz="0" w:space="0" w:color="auto"/>
            <w:left w:val="none" w:sz="0" w:space="0" w:color="auto"/>
            <w:bottom w:val="none" w:sz="0" w:space="0" w:color="auto"/>
            <w:right w:val="none" w:sz="0" w:space="0" w:color="auto"/>
          </w:divBdr>
        </w:div>
        <w:div w:id="2035418882">
          <w:marLeft w:val="0"/>
          <w:marRight w:val="0"/>
          <w:marTop w:val="0"/>
          <w:marBottom w:val="0"/>
          <w:divBdr>
            <w:top w:val="none" w:sz="0" w:space="0" w:color="auto"/>
            <w:left w:val="none" w:sz="0" w:space="0" w:color="auto"/>
            <w:bottom w:val="none" w:sz="0" w:space="0" w:color="auto"/>
            <w:right w:val="none" w:sz="0" w:space="0" w:color="auto"/>
          </w:divBdr>
        </w:div>
      </w:divsChild>
    </w:div>
    <w:div w:id="199132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97e/Docs/RP-22193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5AIRPNAIUNRU-859666464-13305</_dlc_DocId>
    <_dlc_DocIdUrl xmlns="71c5aaf6-e6ce-465b-b873-5148d2a4c105">
      <Url>https://nokia.sharepoint.com/sites/c5g/e2earch/_layouts/15/DocIdRedir.aspx?ID=5AIRPNAIUNRU-859666464-13305</Url>
      <Description>5AIRPNAIUNRU-859666464-13305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5465</CharactersWithSpaces>
  <SharedDoc>false</SharedDoc>
  <HyperlinkBase/>
  <HLinks>
    <vt:vector size="6" baseType="variant">
      <vt:variant>
        <vt:i4>3276807</vt:i4>
      </vt:variant>
      <vt:variant>
        <vt:i4>0</vt:i4>
      </vt:variant>
      <vt:variant>
        <vt:i4>0</vt:i4>
      </vt:variant>
      <vt:variant>
        <vt:i4>5</vt:i4>
      </vt:variant>
      <vt:variant>
        <vt:lpwstr>http://www.3gpp.org/ftp/TSG_RAN/TSG_RAN/TSGR_97e/Docs/RP-221938.zip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Jakob Buthler (Nokia)</cp:lastModifiedBy>
  <cp:revision>172</cp:revision>
  <dcterms:created xsi:type="dcterms:W3CDTF">2016-08-12T13:53:00Z</dcterms:created>
  <dcterms:modified xsi:type="dcterms:W3CDTF">2023-02-16T16:31:00Z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d29fa77f-17db-4949-9932-ce5a4acee99b</vt:lpwstr>
  </property>
</Properties>
</file>